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98B41F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390674" w:rsidRPr="00390674">
        <w:rPr>
          <w:bCs/>
          <w:noProof w:val="0"/>
          <w:sz w:val="24"/>
          <w:szCs w:val="24"/>
        </w:rPr>
        <w:t>12</w:t>
      </w:r>
      <w:r w:rsidR="007B665B">
        <w:rPr>
          <w:bCs/>
          <w:noProof w:val="0"/>
          <w:sz w:val="24"/>
          <w:szCs w:val="24"/>
        </w:rPr>
        <w:t>970</w:t>
      </w:r>
    </w:p>
    <w:p w14:paraId="11776FA6" w14:textId="182FAD9F" w:rsidR="00A209D6" w:rsidRPr="00465587" w:rsidRDefault="008B54E8" w:rsidP="00A209D6">
      <w:pPr>
        <w:pStyle w:val="Header"/>
        <w:tabs>
          <w:tab w:val="right" w:pos="9639"/>
        </w:tabs>
        <w:rPr>
          <w:rFonts w:eastAsia="SimSun"/>
          <w:bCs/>
          <w:sz w:val="24"/>
          <w:szCs w:val="24"/>
          <w:lang w:eastAsia="zh-CN"/>
        </w:rPr>
      </w:pPr>
      <w:r>
        <w:rPr>
          <w:rFonts w:eastAsia="SimSun"/>
          <w:bCs/>
          <w:sz w:val="24"/>
          <w:szCs w:val="24"/>
          <w:lang w:eastAsia="zh-CN"/>
        </w:rPr>
        <w:t>Toulouse, France</w:t>
      </w:r>
      <w:r w:rsidR="00A36F5F" w:rsidRPr="00A36F5F">
        <w:rPr>
          <w:rFonts w:eastAsia="SimSun"/>
          <w:bCs/>
          <w:sz w:val="24"/>
          <w:szCs w:val="24"/>
          <w:lang w:eastAsia="zh-CN"/>
        </w:rPr>
        <w:t xml:space="preserve">, </w:t>
      </w:r>
      <w:r w:rsidR="00A17176">
        <w:rPr>
          <w:rFonts w:eastAsia="SimSun"/>
          <w:bCs/>
          <w:sz w:val="24"/>
          <w:szCs w:val="24"/>
          <w:lang w:eastAsia="zh-CN"/>
        </w:rPr>
        <w:t>1</w:t>
      </w:r>
      <w:r>
        <w:rPr>
          <w:rFonts w:eastAsia="SimSun"/>
          <w:bCs/>
          <w:sz w:val="24"/>
          <w:szCs w:val="24"/>
          <w:lang w:eastAsia="zh-CN"/>
        </w:rPr>
        <w:t>4</w:t>
      </w:r>
      <w:r w:rsidR="005C7CD5" w:rsidRPr="005C7CD5">
        <w:rPr>
          <w:rFonts w:eastAsia="SimSun"/>
          <w:bCs/>
          <w:sz w:val="24"/>
          <w:szCs w:val="24"/>
          <w:lang w:eastAsia="zh-CN"/>
        </w:rPr>
        <w:t xml:space="preserve"> – </w:t>
      </w:r>
      <w:r w:rsidR="00A17176">
        <w:rPr>
          <w:rFonts w:eastAsia="SimSun"/>
          <w:bCs/>
          <w:sz w:val="24"/>
          <w:szCs w:val="24"/>
          <w:lang w:eastAsia="zh-CN"/>
        </w:rPr>
        <w:t>1</w:t>
      </w:r>
      <w:r>
        <w:rPr>
          <w:rFonts w:eastAsia="SimSun"/>
          <w:bCs/>
          <w:sz w:val="24"/>
          <w:szCs w:val="24"/>
          <w:lang w:eastAsia="zh-CN"/>
        </w:rPr>
        <w:t>8</w:t>
      </w:r>
      <w:r w:rsidR="005C7CD5" w:rsidRPr="005C7CD5">
        <w:rPr>
          <w:rFonts w:eastAsia="SimSun"/>
          <w:bCs/>
          <w:sz w:val="24"/>
          <w:szCs w:val="24"/>
          <w:lang w:eastAsia="zh-CN"/>
        </w:rPr>
        <w:t xml:space="preserve"> </w:t>
      </w:r>
      <w:r>
        <w:rPr>
          <w:rFonts w:eastAsia="SimSun"/>
          <w:bCs/>
          <w:sz w:val="24"/>
          <w:szCs w:val="24"/>
          <w:lang w:eastAsia="zh-CN"/>
        </w:rPr>
        <w:t>November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ECA836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A18B3">
        <w:rPr>
          <w:rFonts w:cs="Arial"/>
          <w:b/>
          <w:bCs/>
          <w:sz w:val="24"/>
          <w:lang w:eastAsia="ja-JP"/>
        </w:rPr>
        <w:t>8</w:t>
      </w:r>
      <w:r>
        <w:rPr>
          <w:rFonts w:cs="Arial"/>
          <w:b/>
          <w:bCs/>
          <w:sz w:val="24"/>
          <w:lang w:eastAsia="ja-JP"/>
        </w:rPr>
        <w:t>.</w:t>
      </w:r>
      <w:r w:rsidR="001A18B3">
        <w:rPr>
          <w:rFonts w:cs="Arial"/>
          <w:b/>
          <w:bCs/>
          <w:sz w:val="24"/>
          <w:lang w:eastAsia="ja-JP"/>
        </w:rPr>
        <w:t>12</w:t>
      </w:r>
      <w:r>
        <w:rPr>
          <w:rFonts w:cs="Arial"/>
          <w:b/>
          <w:bCs/>
          <w:sz w:val="24"/>
          <w:lang w:eastAsia="ja-JP"/>
        </w:rPr>
        <w:t>.</w:t>
      </w:r>
      <w:r w:rsidR="001A18B3">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F8DB99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90674">
        <w:rPr>
          <w:rFonts w:ascii="Arial" w:hAnsi="Arial" w:cs="Arial"/>
          <w:b/>
          <w:bCs/>
          <w:sz w:val="24"/>
        </w:rPr>
        <w:t>Enhancements for IAB node mobility</w:t>
      </w:r>
    </w:p>
    <w:p w14:paraId="25F387E8" w14:textId="6B15B14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A18B3" w:rsidRPr="001A18B3">
        <w:rPr>
          <w:rFonts w:ascii="Arial" w:hAnsi="Arial" w:cs="Arial"/>
          <w:b/>
          <w:bCs/>
          <w:sz w:val="24"/>
        </w:rPr>
        <w:t>NR_mobile_IAB</w:t>
      </w:r>
      <w:proofErr w:type="spellEnd"/>
      <w:r w:rsidR="001A18B3" w:rsidRPr="001A18B3">
        <w:rPr>
          <w:rFonts w:ascii="Arial" w:hAnsi="Arial" w:cs="Arial"/>
          <w:b/>
          <w:bCs/>
          <w:sz w:val="24"/>
        </w:rPr>
        <w:t xml:space="preserve"> -Core </w:t>
      </w:r>
      <w:r w:rsidR="001A18B3">
        <w:rPr>
          <w:rFonts w:ascii="Arial" w:hAnsi="Arial" w:cs="Arial"/>
          <w:b/>
          <w:bCs/>
          <w:sz w:val="24"/>
        </w:rPr>
        <w:t>–</w:t>
      </w:r>
      <w:r>
        <w:rPr>
          <w:rFonts w:ascii="Arial" w:hAnsi="Arial" w:cs="Arial"/>
          <w:b/>
          <w:bCs/>
          <w:sz w:val="24"/>
        </w:rPr>
        <w:t xml:space="preserve"> Rel</w:t>
      </w:r>
      <w:r w:rsidR="00390674">
        <w:rPr>
          <w:rFonts w:ascii="Arial" w:hAnsi="Arial" w:cs="Arial"/>
          <w:b/>
          <w:bCs/>
          <w:sz w:val="24"/>
        </w:rPr>
        <w:t>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D66B5AF" w14:textId="7346280D" w:rsidR="001A18B3" w:rsidRDefault="00EC4B0A" w:rsidP="001A18B3">
      <w:r>
        <w:t>RAN2#119bis-e made following agreements on mobility enhancements</w:t>
      </w:r>
      <w:r w:rsidR="00C77638">
        <w:t xml:space="preserve"> (copied from </w:t>
      </w:r>
      <w:hyperlink r:id="rId13" w:history="1">
        <w:r w:rsidR="00C77638" w:rsidRPr="00C77638">
          <w:rPr>
            <w:rStyle w:val="Hyperlink"/>
          </w:rPr>
          <w:t>R2 119bis-e Chair Notes EOM rev1</w:t>
        </w:r>
      </w:hyperlink>
      <w:r w:rsidR="00C77638">
        <w:t>)</w:t>
      </w:r>
      <w:r>
        <w:t>:</w:t>
      </w:r>
    </w:p>
    <w:p w14:paraId="03BB2D6A" w14:textId="77777777" w:rsidR="00EC4B0A" w:rsidRDefault="00EC4B0A" w:rsidP="00EC4B0A">
      <w:pPr>
        <w:pStyle w:val="Agreement"/>
      </w:pPr>
      <w:r>
        <w:t>UE capability signalling is the baseline to let CU know that the MT is a “mobile-IAB” type. FFS early mobile-IAB indication, e.g. in Msg5.</w:t>
      </w:r>
    </w:p>
    <w:p w14:paraId="3EC9E099" w14:textId="77777777" w:rsidR="00EC4B0A" w:rsidRDefault="00EC4B0A" w:rsidP="00EC4B0A">
      <w:pPr>
        <w:pStyle w:val="Agreement"/>
      </w:pPr>
      <w:r>
        <w:t>Regarding moving status/mode indication</w:t>
      </w:r>
      <w:bookmarkStart w:id="0" w:name="_Hlk118113207"/>
      <w:r>
        <w:t xml:space="preserve">, R2 observes that legacy reporting of mobility state (e.g. </w:t>
      </w:r>
      <w:r>
        <w:rPr>
          <w:i/>
        </w:rPr>
        <w:t>mobilityState-r16</w:t>
      </w:r>
      <w:r>
        <w:t>) could be reused, and maybe also current location reporting from the UE. FFS whether any of this need to be enhanced or complemented, e.g. for the potential purpose of predictive mobility</w:t>
      </w:r>
      <w:bookmarkEnd w:id="0"/>
      <w:r>
        <w:t>.</w:t>
      </w:r>
    </w:p>
    <w:p w14:paraId="4584790F" w14:textId="77777777" w:rsidR="00EC4B0A" w:rsidRDefault="00EC4B0A" w:rsidP="00EC4B0A">
      <w:pPr>
        <w:pStyle w:val="Agreement"/>
      </w:pPr>
      <w:r>
        <w:t>FFS if to Introduce that stationary network broadcasts indication of “supporting mobile-IAB” (into intended for the Mobile IAB MT)</w:t>
      </w:r>
    </w:p>
    <w:p w14:paraId="25E80BB9" w14:textId="77777777" w:rsidR="00EC4B0A" w:rsidRDefault="00EC4B0A" w:rsidP="00EC4B0A">
      <w:pPr>
        <w:pStyle w:val="Agreement"/>
      </w:pPr>
      <w:r>
        <w:t xml:space="preserve">RAN2 confirms that Mobile IAB need to work with legacy UEs. </w:t>
      </w:r>
    </w:p>
    <w:p w14:paraId="52166F34" w14:textId="77777777" w:rsidR="00EC4B0A" w:rsidRDefault="00EC4B0A" w:rsidP="00EC4B0A">
      <w:pPr>
        <w:pStyle w:val="Agreement"/>
      </w:pPr>
      <w:r>
        <w:t xml:space="preserve">RAN2 observes that a UE could potentially consider itself on-board of a mobile-IAB cell, if the UE camps on/connects to a mobile IAB cell during a long period (i.e. the UE then need to know that this is such a cell). FFS the time. FFS if this is needed. </w:t>
      </w:r>
    </w:p>
    <w:p w14:paraId="00F66340" w14:textId="77777777" w:rsidR="00EC4B0A" w:rsidRDefault="00EC4B0A" w:rsidP="00EC4B0A">
      <w:pPr>
        <w:pStyle w:val="Agreement"/>
      </w:pPr>
      <w:r>
        <w:t xml:space="preserve">RAN2 assume below for the UEs </w:t>
      </w:r>
      <w:r>
        <w:rPr>
          <w:rFonts w:eastAsia="SimSun"/>
        </w:rPr>
        <w:t>working in the mobile IAB cell (may be obvious):</w:t>
      </w:r>
    </w:p>
    <w:p w14:paraId="074A4D45" w14:textId="77777777" w:rsidR="00EC4B0A" w:rsidRDefault="00EC4B0A" w:rsidP="00EC4B0A">
      <w:pPr>
        <w:pStyle w:val="Agreement"/>
        <w:numPr>
          <w:ilvl w:val="0"/>
          <w:numId w:val="0"/>
        </w:numPr>
        <w:tabs>
          <w:tab w:val="left" w:pos="1304"/>
        </w:tabs>
        <w:ind w:left="1619"/>
      </w:pPr>
      <w:r>
        <w:t>Assumption 1: From the NW perspective of mobile-IAB cell, the principle of setting the legacy parameters (including cell (re)selection, cell reservations and access restrictions) does not change, compared to the legacy IAB cell.</w:t>
      </w:r>
    </w:p>
    <w:p w14:paraId="4882FA54" w14:textId="77777777" w:rsidR="00EC4B0A" w:rsidRDefault="00EC4B0A" w:rsidP="00EC4B0A">
      <w:pPr>
        <w:pStyle w:val="Agreement"/>
        <w:numPr>
          <w:ilvl w:val="0"/>
          <w:numId w:val="0"/>
        </w:numPr>
        <w:tabs>
          <w:tab w:val="left" w:pos="1304"/>
        </w:tabs>
        <w:ind w:left="1619"/>
      </w:pPr>
      <w:r>
        <w:t xml:space="preserve">Assumption 2: No spec impact to legacy UEs </w:t>
      </w:r>
      <w:proofErr w:type="spellStart"/>
      <w:r>
        <w:t>behaviors</w:t>
      </w:r>
      <w:proofErr w:type="spellEnd"/>
      <w:r>
        <w:t>.</w:t>
      </w:r>
    </w:p>
    <w:p w14:paraId="63CA3893" w14:textId="77777777" w:rsidR="00EC4B0A" w:rsidRDefault="00EC4B0A" w:rsidP="00EC4B0A">
      <w:pPr>
        <w:pStyle w:val="Agreement"/>
        <w:numPr>
          <w:ilvl w:val="0"/>
          <w:numId w:val="0"/>
        </w:numPr>
        <w:tabs>
          <w:tab w:val="left" w:pos="1304"/>
        </w:tabs>
        <w:ind w:left="1619"/>
      </w:pPr>
      <w:r>
        <w:t>Assumption 3: Any R18 newly broadcasted info of mobile-IAB cell (if agreed) does not forbid/control the access of legacy UEs.</w:t>
      </w:r>
    </w:p>
    <w:p w14:paraId="5FE94FA5" w14:textId="77777777" w:rsidR="00EC4B0A" w:rsidRDefault="00EC4B0A" w:rsidP="00EC4B0A">
      <w:pPr>
        <w:pStyle w:val="Agreement"/>
        <w:numPr>
          <w:ilvl w:val="0"/>
          <w:numId w:val="0"/>
        </w:numPr>
        <w:tabs>
          <w:tab w:val="left" w:pos="1304"/>
        </w:tabs>
        <w:ind w:left="1619"/>
      </w:pPr>
      <w:r>
        <w:t>Assumption 4: Non-enhanced UEs (including legacy UEs and R18 UEs not supporting the enhancement) just ignore the R18 newly broadcasted info of mobile-IAB cell (if agreed).</w:t>
      </w:r>
    </w:p>
    <w:p w14:paraId="14A14A88" w14:textId="77777777" w:rsidR="00EC4B0A" w:rsidRDefault="00EC4B0A" w:rsidP="00EC4B0A">
      <w:pPr>
        <w:pStyle w:val="Agreement"/>
      </w:pPr>
      <w:r>
        <w:t>RAN2 assumption: For the mobile IAB cell broadcasting info:</w:t>
      </w:r>
    </w:p>
    <w:p w14:paraId="0AB4F1DE" w14:textId="77777777" w:rsidR="00EC4B0A" w:rsidRDefault="00EC4B0A" w:rsidP="00EC4B0A">
      <w:pPr>
        <w:pStyle w:val="Agreement"/>
        <w:numPr>
          <w:ilvl w:val="0"/>
          <w:numId w:val="0"/>
        </w:numPr>
        <w:tabs>
          <w:tab w:val="left" w:pos="1304"/>
        </w:tabs>
        <w:ind w:left="1619"/>
      </w:pPr>
      <w:r>
        <w:t>1 bit mobile-IAB cell type indication is introduced, to assist mobility in Idle/Inactive mode for Rel-18 UEs (FFS if to assist UE to know it is onboard, if this need to be known)</w:t>
      </w:r>
    </w:p>
    <w:p w14:paraId="5AAF7670" w14:textId="77777777" w:rsidR="00EC4B0A" w:rsidRDefault="00EC4B0A" w:rsidP="00EC4B0A">
      <w:pPr>
        <w:pStyle w:val="Agreement"/>
        <w:numPr>
          <w:ilvl w:val="0"/>
          <w:numId w:val="0"/>
        </w:numPr>
        <w:tabs>
          <w:tab w:val="left" w:pos="1304"/>
        </w:tabs>
        <w:ind w:left="1619"/>
      </w:pPr>
      <w:r>
        <w:t>FFS how this is used (might be implementation specific).</w:t>
      </w:r>
    </w:p>
    <w:p w14:paraId="185F87A6" w14:textId="4969CBD1" w:rsidR="00EC4B0A" w:rsidRDefault="00EC4B0A" w:rsidP="00EC4B0A">
      <w:pPr>
        <w:pStyle w:val="Agreement"/>
      </w:pPr>
      <w:r>
        <w:t>RAN2 has from the Mobile IAB WI perspective not identified any modifications to prevent the surrounding UE from accessing the mobile IAB-node, but believes that SA2 may be working on Rel-18 solutions that may be applicable (wait for SA2)</w:t>
      </w:r>
    </w:p>
    <w:p w14:paraId="7ABCF58D" w14:textId="77777777" w:rsidR="00C8350D" w:rsidRPr="00C8350D" w:rsidRDefault="00C8350D" w:rsidP="00C8350D">
      <w:pPr>
        <w:rPr>
          <w:lang w:eastAsia="en-GB"/>
        </w:rPr>
      </w:pPr>
    </w:p>
    <w:p w14:paraId="7B4FBA61" w14:textId="02A6CD30" w:rsidR="00C8350D" w:rsidRDefault="00C8350D" w:rsidP="00C8350D">
      <w:pPr>
        <w:pStyle w:val="Doc-text2"/>
        <w:ind w:left="1982"/>
        <w:rPr>
          <w:lang w:val="en-US"/>
        </w:rPr>
      </w:pPr>
      <w:r>
        <w:rPr>
          <w:lang w:val="en-US"/>
        </w:rPr>
        <w:t xml:space="preserve">For CHO execution, following options O1 O2 O3 were considered: </w:t>
      </w:r>
    </w:p>
    <w:p w14:paraId="3CAE10E0" w14:textId="77777777" w:rsidR="00C8350D" w:rsidRDefault="00C8350D" w:rsidP="00C8350D">
      <w:pPr>
        <w:pStyle w:val="Doc-text2"/>
        <w:ind w:left="1982"/>
        <w:rPr>
          <w:i/>
          <w:iCs/>
          <w:lang w:val="en-US"/>
        </w:rPr>
      </w:pPr>
      <w:r>
        <w:rPr>
          <w:i/>
          <w:iCs/>
          <w:lang w:val="en-US"/>
        </w:rPr>
        <w:t xml:space="preserve">1) message withholding by the logical source IAB-DU with conditional delivery, e.g., upon on MT migration, </w:t>
      </w:r>
    </w:p>
    <w:p w14:paraId="7CCA421B" w14:textId="77777777" w:rsidR="00C8350D" w:rsidRDefault="00C8350D" w:rsidP="00C8350D">
      <w:pPr>
        <w:pStyle w:val="Doc-text2"/>
        <w:ind w:left="1982"/>
        <w:rPr>
          <w:i/>
          <w:iCs/>
          <w:lang w:val="en-US"/>
        </w:rPr>
      </w:pPr>
      <w:r>
        <w:rPr>
          <w:i/>
          <w:iCs/>
          <w:lang w:val="en-US"/>
        </w:rPr>
        <w:lastRenderedPageBreak/>
        <w:t xml:space="preserve">2) conditional execution by the UE based on, e.g., a broadcast indication such as SIB indication of service time or DCI indication of MT-migration, (includes CHO with new trigger). </w:t>
      </w:r>
    </w:p>
    <w:p w14:paraId="7656F2C0" w14:textId="77777777" w:rsidR="00C8350D" w:rsidRDefault="00C8350D" w:rsidP="00C8350D">
      <w:pPr>
        <w:pStyle w:val="Doc-text2"/>
        <w:ind w:left="1982"/>
        <w:rPr>
          <w:i/>
          <w:iCs/>
          <w:lang w:val="en-US"/>
        </w:rPr>
      </w:pPr>
      <w:r>
        <w:rPr>
          <w:i/>
          <w:iCs/>
          <w:lang w:val="en-US"/>
        </w:rPr>
        <w:t xml:space="preserve">3) legacy CHO (with implementation specific </w:t>
      </w:r>
      <w:proofErr w:type="spellStart"/>
      <w:r>
        <w:rPr>
          <w:i/>
          <w:iCs/>
          <w:lang w:val="en-US"/>
        </w:rPr>
        <w:t>behaviour</w:t>
      </w:r>
      <w:proofErr w:type="spellEnd"/>
      <w:r>
        <w:rPr>
          <w:i/>
          <w:iCs/>
          <w:lang w:val="en-US"/>
        </w:rPr>
        <w:t>, e.g. using source-cell power down or target cell power up triggering the actual HO)</w:t>
      </w:r>
    </w:p>
    <w:p w14:paraId="00ABB427" w14:textId="77777777" w:rsidR="00C8350D" w:rsidRDefault="00C8350D" w:rsidP="00C8350D">
      <w:pPr>
        <w:pStyle w:val="Doc-text2"/>
      </w:pPr>
    </w:p>
    <w:p w14:paraId="1D2B8A11" w14:textId="77777777" w:rsidR="00EC4B0A" w:rsidRDefault="00EC4B0A" w:rsidP="00EC4B0A">
      <w:pPr>
        <w:pStyle w:val="Agreement"/>
      </w:pPr>
      <w:r>
        <w:t xml:space="preserve">RAN2 assumes that O1 and O3 above could work, and FFS if O2 above (new trigger etc) is needed. </w:t>
      </w:r>
    </w:p>
    <w:p w14:paraId="4D18A07A" w14:textId="77777777" w:rsidR="00C8350D" w:rsidRDefault="00C8350D" w:rsidP="001A18B3"/>
    <w:p w14:paraId="1471B616" w14:textId="401E2047" w:rsidR="00C8350D" w:rsidRDefault="00C8350D" w:rsidP="001A18B3">
      <w:r>
        <w:t>In this contribution we further elaborate the open issues identified for IAB-mobility.</w:t>
      </w:r>
    </w:p>
    <w:p w14:paraId="7D484B6E" w14:textId="47971101" w:rsidR="009339CB" w:rsidRPr="006E13D1" w:rsidRDefault="009339CB" w:rsidP="009339CB">
      <w:pPr>
        <w:pStyle w:val="Heading1"/>
      </w:pPr>
      <w:r w:rsidRPr="006E13D1">
        <w:t>2</w:t>
      </w:r>
      <w:r w:rsidRPr="006E13D1">
        <w:tab/>
      </w:r>
      <w:r w:rsidR="001A18B3">
        <w:t>Discussion</w:t>
      </w:r>
    </w:p>
    <w:p w14:paraId="5982B445" w14:textId="79BEBD97" w:rsidR="009339CB" w:rsidRPr="006E13D1" w:rsidRDefault="009339CB" w:rsidP="009339CB">
      <w:pPr>
        <w:pStyle w:val="Heading2"/>
      </w:pPr>
      <w:r>
        <w:t>2</w:t>
      </w:r>
      <w:r w:rsidRPr="006E13D1">
        <w:t>.1</w:t>
      </w:r>
      <w:r w:rsidRPr="006E13D1">
        <w:tab/>
      </w:r>
      <w:r w:rsidR="001A18B3">
        <w:t>Mobile IAB-node broadcast indications</w:t>
      </w:r>
    </w:p>
    <w:p w14:paraId="470B1B4B" w14:textId="155125D6" w:rsidR="001A18B3" w:rsidRPr="003D0826" w:rsidRDefault="001A18B3" w:rsidP="001A18B3">
      <w:pPr>
        <w:rPr>
          <w:i/>
          <w:iCs/>
        </w:rPr>
      </w:pPr>
      <w:r w:rsidRPr="003D0826">
        <w:rPr>
          <w:i/>
          <w:iCs/>
          <w:u w:val="single"/>
        </w:rPr>
        <w:t>Mobile-IAB-node broadcast:</w:t>
      </w:r>
      <w:r w:rsidRPr="003D0826">
        <w:rPr>
          <w:i/>
          <w:iCs/>
        </w:rPr>
        <w:t xml:space="preserve"> RAN2 agreed that 1bit for mobile-cell-type indication is broadcast.  Open issues:</w:t>
      </w:r>
    </w:p>
    <w:p w14:paraId="1022F17A" w14:textId="3F7171A8" w:rsidR="001A18B3" w:rsidRPr="003D0826" w:rsidRDefault="001A18B3" w:rsidP="003D0826">
      <w:pPr>
        <w:pStyle w:val="ListParagraph"/>
        <w:numPr>
          <w:ilvl w:val="0"/>
          <w:numId w:val="14"/>
        </w:numPr>
        <w:rPr>
          <w:i/>
          <w:iCs/>
        </w:rPr>
      </w:pPr>
      <w:r w:rsidRPr="003D0826">
        <w:rPr>
          <w:i/>
          <w:iCs/>
        </w:rPr>
        <w:t>How is mobile-cell-type indication used by the UE?</w:t>
      </w:r>
    </w:p>
    <w:p w14:paraId="27969802" w14:textId="7E806B3D" w:rsidR="001A18B3" w:rsidRPr="003D0826" w:rsidRDefault="001A18B3" w:rsidP="003D0826">
      <w:pPr>
        <w:pStyle w:val="ListParagraph"/>
        <w:numPr>
          <w:ilvl w:val="0"/>
          <w:numId w:val="14"/>
        </w:numPr>
        <w:rPr>
          <w:i/>
          <w:iCs/>
        </w:rPr>
      </w:pPr>
      <w:r w:rsidRPr="003D0826">
        <w:rPr>
          <w:i/>
          <w:iCs/>
        </w:rPr>
        <w:t>Which SIB is used for this broadcast?</w:t>
      </w:r>
    </w:p>
    <w:p w14:paraId="57525187" w14:textId="3084ED3A" w:rsidR="001A18B3" w:rsidRPr="003D0826" w:rsidRDefault="001A18B3" w:rsidP="003D0826">
      <w:pPr>
        <w:pStyle w:val="ListParagraph"/>
        <w:numPr>
          <w:ilvl w:val="0"/>
          <w:numId w:val="14"/>
        </w:numPr>
        <w:rPr>
          <w:i/>
          <w:iCs/>
        </w:rPr>
      </w:pPr>
      <w:r w:rsidRPr="003D0826">
        <w:rPr>
          <w:i/>
          <w:iCs/>
        </w:rPr>
        <w:t>Any enhancements needed for the cell (re-)selection of the Rel-18 UE (e.g., to consider itself “onboard”)</w:t>
      </w:r>
    </w:p>
    <w:p w14:paraId="64596293" w14:textId="3FD2947F" w:rsidR="001F6A0B" w:rsidRDefault="00B63A19" w:rsidP="001F6A0B">
      <w:r>
        <w:t xml:space="preserve">During RAN2#119bis-e discussions, </w:t>
      </w:r>
      <w:r w:rsidR="001F6A0B">
        <w:t>many</w:t>
      </w:r>
      <w:r>
        <w:t xml:space="preserve"> companies expressed the view that </w:t>
      </w:r>
      <w:r w:rsidR="001F6A0B">
        <w:t xml:space="preserve">a </w:t>
      </w:r>
      <w:r>
        <w:t xml:space="preserve">Rel-18 UE could in </w:t>
      </w:r>
      <w:r w:rsidR="00842745">
        <w:t>principle</w:t>
      </w:r>
      <w:r>
        <w:t xml:space="preserve"> use a 1 bit mobile-IAB cell indication to assist in determining whether </w:t>
      </w:r>
      <w:r w:rsidR="001F6A0B">
        <w:t>the UE is</w:t>
      </w:r>
      <w:r>
        <w:t xml:space="preserve"> on board </w:t>
      </w:r>
      <w:r w:rsidR="001F6A0B">
        <w:t>a</w:t>
      </w:r>
      <w:r>
        <w:t xml:space="preserve"> mobile-IAB cell. </w:t>
      </w:r>
      <w:r w:rsidR="00842745">
        <w:t>Although there</w:t>
      </w:r>
      <w:r>
        <w:t xml:space="preserve"> was not any consensus on how this indication could be used</w:t>
      </w:r>
      <w:r w:rsidR="00842745">
        <w:t xml:space="preserve">, </w:t>
      </w:r>
      <w:r w:rsidR="001F6A0B">
        <w:t>many</w:t>
      </w:r>
      <w:r>
        <w:t xml:space="preserve"> </w:t>
      </w:r>
      <w:r w:rsidR="00842745">
        <w:t>agreed</w:t>
      </w:r>
      <w:r>
        <w:t xml:space="preserve"> that such behaviour </w:t>
      </w:r>
      <w:r w:rsidR="00842745">
        <w:t>c</w:t>
      </w:r>
      <w:r>
        <w:t xml:space="preserve">ould </w:t>
      </w:r>
      <w:r w:rsidR="001F6A0B">
        <w:t>be handled by</w:t>
      </w:r>
      <w:r>
        <w:t xml:space="preserve"> implementation.</w:t>
      </w:r>
      <w:r w:rsidR="00842745">
        <w:t xml:space="preserve"> </w:t>
      </w:r>
      <w:r w:rsidR="001F6A0B">
        <w:t>We are also of the view that this functionality should be left to implementation</w:t>
      </w:r>
      <w:r w:rsidR="00FC6EFF">
        <w:t>:</w:t>
      </w:r>
      <w:r w:rsidR="001F6A0B">
        <w:t xml:space="preserve"> otherwise</w:t>
      </w:r>
      <w:r w:rsidR="00B200EB">
        <w:t>,</w:t>
      </w:r>
      <w:r w:rsidR="001F6A0B">
        <w:t xml:space="preserve"> </w:t>
      </w:r>
      <w:r w:rsidR="00FC6EFF">
        <w:t xml:space="preserve">it may </w:t>
      </w:r>
      <w:r w:rsidR="001F6A0B">
        <w:t xml:space="preserve">require significant effort to </w:t>
      </w:r>
      <w:r w:rsidR="00FC6EFF">
        <w:t>converge on the specified behaviour,</w:t>
      </w:r>
      <w:r w:rsidR="00842745">
        <w:t xml:space="preserve"> while the benefits </w:t>
      </w:r>
      <w:r w:rsidR="001F6A0B">
        <w:t>appear only</w:t>
      </w:r>
      <w:r w:rsidR="00842745">
        <w:t xml:space="preserve"> marginal</w:t>
      </w:r>
      <w:r w:rsidR="001F6A0B">
        <w:t xml:space="preserve"> to a small number of UEs</w:t>
      </w:r>
      <w:r w:rsidR="00FC6EFF">
        <w:t xml:space="preserve"> anyway</w:t>
      </w:r>
      <w:r w:rsidR="001F6A0B">
        <w:t>.</w:t>
      </w:r>
    </w:p>
    <w:p w14:paraId="46B30575" w14:textId="16FA4450" w:rsidR="00FC6EFF" w:rsidRDefault="001F6A0B" w:rsidP="00FC6EFF">
      <w:pPr>
        <w:ind w:left="1702" w:hanging="1418"/>
      </w:pPr>
      <w:r w:rsidRPr="00FC6EFF">
        <w:rPr>
          <w:b/>
          <w:bCs/>
        </w:rPr>
        <w:t xml:space="preserve">Proposal </w:t>
      </w:r>
      <w:r w:rsidR="00EC4CA1">
        <w:rPr>
          <w:b/>
          <w:bCs/>
        </w:rPr>
        <w:t>1</w:t>
      </w:r>
      <w:r w:rsidRPr="001F6A0B">
        <w:t>:</w:t>
      </w:r>
      <w:r w:rsidRPr="001F6A0B">
        <w:tab/>
      </w:r>
      <w:r>
        <w:tab/>
      </w:r>
      <w:r w:rsidR="00FC6EFF">
        <w:t>How to use the 1 bit mobile-IAB cell indication is left to UE implementation, and no further optimization for Rel-18 UE cell (re)selection specifications.</w:t>
      </w:r>
    </w:p>
    <w:p w14:paraId="24A4E0C0" w14:textId="77777777" w:rsidR="001A18B3" w:rsidRPr="003D0826" w:rsidRDefault="001A18B3" w:rsidP="001A18B3">
      <w:pPr>
        <w:rPr>
          <w:i/>
          <w:iCs/>
        </w:rPr>
      </w:pPr>
      <w:r w:rsidRPr="003D0826">
        <w:rPr>
          <w:i/>
          <w:iCs/>
          <w:u w:val="single"/>
        </w:rPr>
        <w:t>Stationary network broadcast:</w:t>
      </w:r>
      <w:r w:rsidRPr="003D0826">
        <w:rPr>
          <w:i/>
          <w:iCs/>
        </w:rPr>
        <w:t xml:space="preserve"> Open issue:</w:t>
      </w:r>
    </w:p>
    <w:p w14:paraId="644ED926" w14:textId="2C1A23B2" w:rsidR="001A18B3" w:rsidRPr="003D0826" w:rsidRDefault="001A18B3" w:rsidP="003D0826">
      <w:pPr>
        <w:pStyle w:val="ListParagraph"/>
        <w:numPr>
          <w:ilvl w:val="0"/>
          <w:numId w:val="14"/>
        </w:numPr>
        <w:rPr>
          <w:i/>
          <w:iCs/>
        </w:rPr>
      </w:pPr>
      <w:r w:rsidRPr="003D0826">
        <w:rPr>
          <w:i/>
          <w:iCs/>
        </w:rPr>
        <w:t>Should the stationary network broadcast that it supports attachment of mobile IAB-nodes or is the “IAB-supported” indicator sufficient to also cover mobile IAB-nodes.</w:t>
      </w:r>
    </w:p>
    <w:p w14:paraId="6025768D" w14:textId="77777777" w:rsidR="0079755B" w:rsidRDefault="0079755B" w:rsidP="0079755B">
      <w:r>
        <w:t>Given that:</w:t>
      </w:r>
    </w:p>
    <w:p w14:paraId="1841DCF6" w14:textId="77777777" w:rsidR="0079755B" w:rsidRDefault="0079755B" w:rsidP="0079755B">
      <w:pPr>
        <w:pStyle w:val="ListParagraph"/>
        <w:numPr>
          <w:ilvl w:val="0"/>
          <w:numId w:val="10"/>
        </w:numPr>
      </w:pPr>
      <w:r>
        <w:t>proper support of a mobile IAB node by the donor also entails IAB-DU migration;</w:t>
      </w:r>
    </w:p>
    <w:p w14:paraId="31C685C3" w14:textId="77777777" w:rsidR="0079755B" w:rsidRDefault="0079755B" w:rsidP="0079755B">
      <w:pPr>
        <w:pStyle w:val="ListParagraph"/>
        <w:numPr>
          <w:ilvl w:val="0"/>
          <w:numId w:val="10"/>
        </w:numPr>
      </w:pPr>
      <w:r>
        <w:t>according to the Rel-18 WID, a mobile IAB node need not support child nodes,</w:t>
      </w:r>
    </w:p>
    <w:p w14:paraId="28064CC1" w14:textId="77777777" w:rsidR="0079755B" w:rsidRDefault="0079755B" w:rsidP="0079755B">
      <w:r>
        <w:t>if, based only on the legacy SIB indication “IAB supported”, a mobile IAB node integrates into a Rel-17 cell and sends the legacy IAB-node indication:</w:t>
      </w:r>
    </w:p>
    <w:p w14:paraId="14BB4376" w14:textId="77777777" w:rsidR="0079755B" w:rsidRDefault="0079755B" w:rsidP="0079755B">
      <w:pPr>
        <w:pStyle w:val="ListParagraph"/>
        <w:numPr>
          <w:ilvl w:val="0"/>
          <w:numId w:val="10"/>
        </w:numPr>
      </w:pPr>
      <w:r>
        <w:t>the DU of the mobile IAB node will not be migrated regardless of the node’s mobility or its extent;</w:t>
      </w:r>
    </w:p>
    <w:p w14:paraId="6F17B3F2" w14:textId="77777777" w:rsidR="0079755B" w:rsidRDefault="0079755B" w:rsidP="0079755B">
      <w:pPr>
        <w:pStyle w:val="ListParagraph"/>
        <w:numPr>
          <w:ilvl w:val="0"/>
          <w:numId w:val="10"/>
        </w:numPr>
      </w:pPr>
      <w:r>
        <w:t>the donor node will incorrectly assume that the IAB node supports child nodes.</w:t>
      </w:r>
    </w:p>
    <w:p w14:paraId="7B5F3FF3" w14:textId="226E468E" w:rsidR="0079755B" w:rsidRDefault="0079755B" w:rsidP="0079755B">
      <w:pPr>
        <w:ind w:left="1704" w:hanging="1420"/>
      </w:pPr>
      <w:r w:rsidRPr="00A41175">
        <w:rPr>
          <w:b/>
        </w:rPr>
        <w:t>Observation</w:t>
      </w:r>
      <w:r>
        <w:rPr>
          <w:b/>
        </w:rPr>
        <w:t xml:space="preserve"> </w:t>
      </w:r>
      <w:r w:rsidR="00EC4CA1">
        <w:rPr>
          <w:b/>
        </w:rPr>
        <w:t>1</w:t>
      </w:r>
      <w:r>
        <w:t>:</w:t>
      </w:r>
      <w:r>
        <w:tab/>
        <w:t>Relying only on the legacy SIB indication “IAB supported” at integration of a mobile IAB node:</w:t>
      </w:r>
      <w:r>
        <w:br/>
        <w:t>- the node may integrate to a donor not supporting DU migration, rendering the IAB DU immobile</w:t>
      </w:r>
      <w:r w:rsidRPr="00AB5E51">
        <w:t xml:space="preserve"> </w:t>
      </w:r>
      <w:r>
        <w:t>regardless of mobility;</w:t>
      </w:r>
      <w:r>
        <w:br/>
        <w:t>- the donor node may assume that the IAB node supports child nodes, which may be incorrect.</w:t>
      </w:r>
    </w:p>
    <w:p w14:paraId="102542FE" w14:textId="7B958A40" w:rsidR="0079755B" w:rsidRDefault="0079755B" w:rsidP="0079755B">
      <w:pPr>
        <w:ind w:left="1704" w:hanging="1420"/>
      </w:pPr>
      <w:r>
        <w:rPr>
          <w:b/>
        </w:rPr>
        <w:t xml:space="preserve">Proposal </w:t>
      </w:r>
      <w:r w:rsidR="00EC4CA1">
        <w:rPr>
          <w:b/>
        </w:rPr>
        <w:t>2</w:t>
      </w:r>
      <w:r w:rsidRPr="00A41175">
        <w:t>:</w:t>
      </w:r>
      <w:r>
        <w:tab/>
        <w:t>In order to function as one, a mobile IAB node only integrates into a cell broadcasting a new indication “Mobile IAB supported”.</w:t>
      </w:r>
    </w:p>
    <w:p w14:paraId="141C8386" w14:textId="77777777" w:rsidR="001A18B3" w:rsidRDefault="001A18B3" w:rsidP="001A18B3">
      <w:r w:rsidRPr="003D0826">
        <w:rPr>
          <w:i/>
          <w:iCs/>
          <w:u w:val="single"/>
        </w:rPr>
        <w:t>Mobile-IAB-node broadcast:</w:t>
      </w:r>
      <w:r w:rsidRPr="008A1540">
        <w:t xml:space="preserve"> </w:t>
      </w:r>
      <w:r w:rsidRPr="003D0826">
        <w:rPr>
          <w:i/>
          <w:iCs/>
        </w:rPr>
        <w:t>On the mobile-IAB indication to donor:</w:t>
      </w:r>
      <w:r>
        <w:t xml:space="preserve"> </w:t>
      </w:r>
    </w:p>
    <w:p w14:paraId="24EE7988" w14:textId="32E5C332" w:rsidR="001A18B3" w:rsidRDefault="001A18B3" w:rsidP="003D0826">
      <w:pPr>
        <w:pStyle w:val="ListParagraph"/>
        <w:numPr>
          <w:ilvl w:val="0"/>
          <w:numId w:val="14"/>
        </w:numPr>
      </w:pPr>
      <w:r w:rsidRPr="003D0826">
        <w:rPr>
          <w:i/>
          <w:iCs/>
        </w:rPr>
        <w:t>Is early reporting via Msg5 needed?</w:t>
      </w:r>
    </w:p>
    <w:p w14:paraId="5BF2C779" w14:textId="77777777" w:rsidR="0079755B" w:rsidRDefault="0079755B" w:rsidP="0079755B">
      <w:r>
        <w:t>The legacy IAB-node indication was placed in Msg5 to allow selection of a proper AMF by the donor. Selecting an AMF supporting mobile IAB may be needed.</w:t>
      </w:r>
    </w:p>
    <w:p w14:paraId="0BDB4AD8" w14:textId="748EA504" w:rsidR="0079755B" w:rsidRDefault="0079755B" w:rsidP="0079755B">
      <w:r>
        <w:lastRenderedPageBreak/>
        <w:t xml:space="preserve">Beside this aspect, if the mobile-IAB-node indication is only carried within UE capabilities and a mobile IAB node is handed over before its source donor receives its capabilities, the Handover request cannot indicate it as a mobile node like agreed by RAN3, but will only contain the legacy IAB-node indication, leading to the same issues as in Observation </w:t>
      </w:r>
      <w:r w:rsidR="00D35F21">
        <w:t>1</w:t>
      </w:r>
      <w:r>
        <w:t xml:space="preserve"> at the target donor. However, this seems to be an avoidable corner case.</w:t>
      </w:r>
    </w:p>
    <w:p w14:paraId="76D30ACB" w14:textId="1F5D7DEC" w:rsidR="0079755B" w:rsidRDefault="0079755B" w:rsidP="003D0826">
      <w:pPr>
        <w:ind w:left="1704" w:hanging="1420"/>
      </w:pPr>
      <w:r w:rsidRPr="00A41175">
        <w:rPr>
          <w:b/>
        </w:rPr>
        <w:t xml:space="preserve">Proposal </w:t>
      </w:r>
      <w:r w:rsidR="00EC4CA1">
        <w:rPr>
          <w:b/>
        </w:rPr>
        <w:t>3</w:t>
      </w:r>
      <w:r>
        <w:t>:</w:t>
      </w:r>
      <w:r>
        <w:tab/>
        <w:t>A donor broadcasting “Mobile IAB supported” checks the UE capability of an IAB node before configuring child nodes to the node or sending Handover request for the node.</w:t>
      </w:r>
    </w:p>
    <w:p w14:paraId="6BB925AE" w14:textId="6D65584D" w:rsidR="001A18B3" w:rsidRPr="003D0826" w:rsidRDefault="00D35F21" w:rsidP="003D0826">
      <w:pPr>
        <w:pStyle w:val="ListParagraph"/>
        <w:numPr>
          <w:ilvl w:val="0"/>
          <w:numId w:val="14"/>
        </w:numPr>
        <w:rPr>
          <w:i/>
          <w:iCs/>
        </w:rPr>
      </w:pPr>
      <w:r w:rsidRPr="003D0826">
        <w:rPr>
          <w:i/>
          <w:iCs/>
        </w:rPr>
        <w:t>Are</w:t>
      </w:r>
      <w:r w:rsidR="001A18B3" w:rsidRPr="003D0826">
        <w:rPr>
          <w:i/>
          <w:iCs/>
        </w:rPr>
        <w:t xml:space="preserve"> any enhancements on moving status/moving mode needed (e.g., for mobility prediction)?</w:t>
      </w:r>
    </w:p>
    <w:p w14:paraId="4F714A74" w14:textId="77777777" w:rsidR="0079755B" w:rsidRDefault="0079755B" w:rsidP="0079755B">
      <w:r>
        <w:t>Rel-16 NR measurement-reporting configuration already allows configuring the UE to report its location and velocity estimate together with its periodical or event-triggered measurement reporting. Enhancements on top of these should be well justified.</w:t>
      </w:r>
    </w:p>
    <w:p w14:paraId="4842154A" w14:textId="0BA6E239" w:rsidR="0079755B" w:rsidRDefault="0079755B" w:rsidP="003D0826">
      <w:pPr>
        <w:ind w:left="1704" w:hanging="1420"/>
      </w:pPr>
      <w:r w:rsidRPr="00A41175">
        <w:rPr>
          <w:b/>
        </w:rPr>
        <w:t xml:space="preserve">Proposal </w:t>
      </w:r>
      <w:r w:rsidR="00EC4CA1">
        <w:rPr>
          <w:b/>
        </w:rPr>
        <w:t>4</w:t>
      </w:r>
      <w:r>
        <w:t>:</w:t>
      </w:r>
      <w:r>
        <w:tab/>
        <w:t>Reporting of moving status relies on legacy mechanisms, such as the reporting of location and velocity estimate already configurable in NR measurement reporting.</w:t>
      </w:r>
    </w:p>
    <w:p w14:paraId="3ED8F63C" w14:textId="541557A1" w:rsidR="001A18B3" w:rsidRPr="006E13D1" w:rsidRDefault="001A18B3" w:rsidP="001A18B3">
      <w:pPr>
        <w:pStyle w:val="Heading2"/>
      </w:pPr>
      <w:r>
        <w:t>2.</w:t>
      </w:r>
      <w:r w:rsidR="5D72C64F">
        <w:t>2</w:t>
      </w:r>
      <w:r>
        <w:tab/>
        <w:t>Group mobility</w:t>
      </w:r>
    </w:p>
    <w:p w14:paraId="76B05963" w14:textId="77777777" w:rsidR="008A1540" w:rsidRPr="003D0826" w:rsidRDefault="008A1540" w:rsidP="003D0826">
      <w:pPr>
        <w:rPr>
          <w:i/>
          <w:iCs/>
        </w:rPr>
      </w:pPr>
      <w:r w:rsidRPr="003D0826">
        <w:rPr>
          <w:i/>
          <w:iCs/>
          <w:u w:val="single"/>
        </w:rPr>
        <w:t>Group mobility:</w:t>
      </w:r>
      <w:r w:rsidRPr="003D0826">
        <w:rPr>
          <w:i/>
          <w:iCs/>
        </w:rPr>
        <w:t xml:space="preserve"> Further discuss options O1, O2, O3:</w:t>
      </w:r>
    </w:p>
    <w:p w14:paraId="6662174F" w14:textId="77777777" w:rsidR="008A1540" w:rsidRPr="003D0826" w:rsidRDefault="008A1540" w:rsidP="003D0826">
      <w:pPr>
        <w:pStyle w:val="ListParagraph"/>
        <w:numPr>
          <w:ilvl w:val="0"/>
          <w:numId w:val="14"/>
        </w:numPr>
        <w:rPr>
          <w:i/>
          <w:iCs/>
        </w:rPr>
      </w:pPr>
      <w:r w:rsidRPr="003D0826">
        <w:rPr>
          <w:i/>
          <w:iCs/>
        </w:rPr>
        <w:t>Discuss trade-offs between O1 and O3</w:t>
      </w:r>
    </w:p>
    <w:p w14:paraId="5C2524B6" w14:textId="77777777" w:rsidR="008A1540" w:rsidRPr="003D0826" w:rsidRDefault="008A1540" w:rsidP="003D0826">
      <w:pPr>
        <w:pStyle w:val="ListParagraph"/>
        <w:numPr>
          <w:ilvl w:val="0"/>
          <w:numId w:val="14"/>
        </w:numPr>
        <w:rPr>
          <w:i/>
          <w:iCs/>
        </w:rPr>
      </w:pPr>
      <w:r w:rsidRPr="003D0826">
        <w:rPr>
          <w:i/>
          <w:iCs/>
        </w:rPr>
        <w:t>Discuss if O2 can or should be supported</w:t>
      </w:r>
    </w:p>
    <w:p w14:paraId="17FE535B" w14:textId="77777777" w:rsidR="008A1540" w:rsidRPr="003D0826" w:rsidRDefault="008A1540" w:rsidP="003D0826">
      <w:pPr>
        <w:pStyle w:val="ListParagraph"/>
        <w:numPr>
          <w:ilvl w:val="0"/>
          <w:numId w:val="14"/>
        </w:numPr>
        <w:rPr>
          <w:i/>
          <w:iCs/>
        </w:rPr>
      </w:pPr>
      <w:r w:rsidRPr="003D0826">
        <w:rPr>
          <w:i/>
          <w:iCs/>
        </w:rPr>
        <w:t>Which of these solutions should RAN2 support? Is there any impact on RAN3?</w:t>
      </w:r>
    </w:p>
    <w:p w14:paraId="5CECAEC6" w14:textId="7F557305" w:rsidR="000F650D" w:rsidRPr="00344525" w:rsidRDefault="000F650D" w:rsidP="001A18B3">
      <w:r>
        <w:t>G</w:t>
      </w:r>
      <w:r w:rsidRPr="002A466F">
        <w:t xml:space="preserve">roup handover is required </w:t>
      </w:r>
      <w:r>
        <w:t>during</w:t>
      </w:r>
      <w:r w:rsidRPr="002A466F">
        <w:t xml:space="preserve"> full migration</w:t>
      </w:r>
      <w:r>
        <w:t xml:space="preserve"> </w:t>
      </w:r>
      <w:r w:rsidR="00344525">
        <w:t>(performed after partial migration). I</w:t>
      </w:r>
      <w:r>
        <w:t>f the logical DUs of the mobile IAB node cannot be active at the same time</w:t>
      </w:r>
      <w:r w:rsidR="00344525">
        <w:t xml:space="preserve"> (i.e. if one has to be switched off before the other is activated), then</w:t>
      </w:r>
      <w:r>
        <w:t xml:space="preserve"> </w:t>
      </w:r>
      <w:r w:rsidRPr="002A466F">
        <w:t xml:space="preserve">UEs connected to </w:t>
      </w:r>
      <w:r w:rsidR="00344525">
        <w:t>the</w:t>
      </w:r>
      <w:r w:rsidRPr="002A466F">
        <w:t xml:space="preserve"> mobile IAB will more or less have to start simultaneously the re-connection or re-establishment when the serving mobile IAB approaches its terminating point. Taking into account that many UEs are served by a mobile-IAB, e.g. within a train, subway or bus, this </w:t>
      </w:r>
      <w:r w:rsidR="00344525">
        <w:t>could result in</w:t>
      </w:r>
      <w:r w:rsidRPr="002A466F">
        <w:t xml:space="preserve"> an unwanted </w:t>
      </w:r>
      <w:r w:rsidR="00CB55EC" w:rsidRPr="002A466F">
        <w:t>signalling</w:t>
      </w:r>
      <w:r w:rsidRPr="002A466F">
        <w:t xml:space="preserve"> storm and failure risk while terminating access to a mobile IAB/changing the cell and (re)attempting to access a service.</w:t>
      </w:r>
      <w:r w:rsidR="00344525">
        <w:t xml:space="preserve"> However, if the cells of the logical DUs of the mobile IAB can be active simultaneously, then it </w:t>
      </w:r>
      <w:r w:rsidR="00027EE8">
        <w:t xml:space="preserve">might be </w:t>
      </w:r>
      <w:r w:rsidR="00344525">
        <w:t>possible for UEs to handover gradually</w:t>
      </w:r>
      <w:r w:rsidR="00027EE8">
        <w:t xml:space="preserve"> (one by one)</w:t>
      </w:r>
      <w:r w:rsidR="00344525">
        <w:t>, avoiding a signalling storm.</w:t>
      </w:r>
    </w:p>
    <w:p w14:paraId="4F25E82B" w14:textId="4A475BD9" w:rsidR="00303D47" w:rsidRDefault="00303D47" w:rsidP="003D0826">
      <w:pPr>
        <w:ind w:left="1704" w:hanging="1420"/>
      </w:pPr>
      <w:r w:rsidRPr="00303D47">
        <w:rPr>
          <w:b/>
          <w:bCs/>
        </w:rPr>
        <w:t xml:space="preserve">Observation </w:t>
      </w:r>
      <w:r w:rsidR="00EC4CA1">
        <w:rPr>
          <w:b/>
          <w:bCs/>
        </w:rPr>
        <w:t>2</w:t>
      </w:r>
      <w:r w:rsidRPr="00303D47">
        <w:rPr>
          <w:b/>
          <w:bCs/>
        </w:rPr>
        <w:t>:</w:t>
      </w:r>
      <w:r w:rsidR="00EC4CA1">
        <w:rPr>
          <w:b/>
          <w:bCs/>
        </w:rPr>
        <w:tab/>
      </w:r>
      <w:r w:rsidRPr="00303D47">
        <w:t>Signalling storm</w:t>
      </w:r>
      <w:r w:rsidR="00BB5711">
        <w:t>s</w:t>
      </w:r>
      <w:r w:rsidRPr="00303D47">
        <w:t xml:space="preserve"> </w:t>
      </w:r>
      <w:r w:rsidR="00344525">
        <w:t>related to group</w:t>
      </w:r>
      <w:r w:rsidR="00BB5711">
        <w:t xml:space="preserve"> </w:t>
      </w:r>
      <w:r w:rsidR="00344525">
        <w:t xml:space="preserve">handover </w:t>
      </w:r>
      <w:r w:rsidR="00027EE8">
        <w:t>might</w:t>
      </w:r>
      <w:r>
        <w:t xml:space="preserve"> not </w:t>
      </w:r>
      <w:r w:rsidR="00027EE8">
        <w:t>be an issue</w:t>
      </w:r>
      <w:r>
        <w:t xml:space="preserve"> </w:t>
      </w:r>
      <w:r w:rsidR="000F650D">
        <w:t>if both cells/logical DUs of the mobile IAB can be active simultaneously.</w:t>
      </w:r>
    </w:p>
    <w:p w14:paraId="7CF38C2F" w14:textId="3E0439FD" w:rsidR="00344525" w:rsidRDefault="00EB298B" w:rsidP="001A18B3">
      <w:r>
        <w:t>I</w:t>
      </w:r>
      <w:r w:rsidR="00344525">
        <w:t>t was agreed in RAN2#119bis-e</w:t>
      </w:r>
      <w:r w:rsidR="00027EE8">
        <w:t>, that RAN2 would focus on the scenario where the logical DUs of the mobile IAB use separate physical cell resources</w:t>
      </w:r>
      <w:r>
        <w:t>. In that case it is possible (although not mandatory) for the cells to be active at the same time</w:t>
      </w:r>
      <w:r w:rsidR="00BB5711">
        <w:t>. Then</w:t>
      </w:r>
      <w:r w:rsidR="00027EE8">
        <w:t xml:space="preserve"> UEs </w:t>
      </w:r>
      <w:r>
        <w:t xml:space="preserve">could </w:t>
      </w:r>
      <w:r w:rsidR="00027EE8">
        <w:t>be handed over gradually without generating signalling storms.</w:t>
      </w:r>
    </w:p>
    <w:p w14:paraId="3278AE13" w14:textId="1EBC4F46" w:rsidR="00027EE8" w:rsidRPr="00303D47" w:rsidRDefault="00027EE8" w:rsidP="003D0826">
      <w:pPr>
        <w:ind w:left="1704" w:hanging="1420"/>
      </w:pPr>
      <w:r w:rsidRPr="00EB298B">
        <w:rPr>
          <w:b/>
          <w:bCs/>
        </w:rPr>
        <w:t xml:space="preserve">Observation </w:t>
      </w:r>
      <w:r w:rsidR="00EC4CA1">
        <w:rPr>
          <w:b/>
          <w:bCs/>
        </w:rPr>
        <w:t>3</w:t>
      </w:r>
      <w:r w:rsidRPr="00EB298B">
        <w:rPr>
          <w:b/>
          <w:bCs/>
        </w:rPr>
        <w:t>:</w:t>
      </w:r>
      <w:r w:rsidR="00EC4CA1">
        <w:tab/>
      </w:r>
      <w:r w:rsidR="00EB298B">
        <w:t xml:space="preserve">If the logical DUs of the mobile IAB use separate physical cell resources </w:t>
      </w:r>
      <w:r w:rsidR="00CB55EC">
        <w:t xml:space="preserve">then </w:t>
      </w:r>
      <w:r w:rsidR="00EB298B">
        <w:t>it is possible to activate the cells simultaneously</w:t>
      </w:r>
      <w:r w:rsidR="00CB55EC">
        <w:t>, in which case UEs could be</w:t>
      </w:r>
      <w:r w:rsidR="00EB298B">
        <w:t xml:space="preserve"> hand</w:t>
      </w:r>
      <w:r w:rsidR="00CB55EC">
        <w:t>ed</w:t>
      </w:r>
      <w:r w:rsidR="00EB298B">
        <w:t xml:space="preserve"> over one by one instead of handing over the whole group of UEs at once.</w:t>
      </w:r>
    </w:p>
    <w:p w14:paraId="4D2C06E2" w14:textId="655622DF" w:rsidR="00CB55EC" w:rsidRDefault="00CB55EC" w:rsidP="001A18B3">
      <w:r>
        <w:t xml:space="preserve">In terms of the trade-offs between Option 1 and Option 3, it is not yet clear whether RAN3 has agreed to support CHO </w:t>
      </w:r>
      <w:r w:rsidR="00D452EB">
        <w:t xml:space="preserve">in mobile IAB </w:t>
      </w:r>
      <w:r>
        <w:t xml:space="preserve">(neither mandated nor precluded). </w:t>
      </w:r>
      <w:r w:rsidR="00D452EB">
        <w:t xml:space="preserve">If CHO is supported, then O3 may be applied for Rel-16/Rel-17 UEs. Furthermore, for Rel-17 UEs, the CHO </w:t>
      </w:r>
      <w:proofErr w:type="spellStart"/>
      <w:r w:rsidR="00D452EB">
        <w:t>CondEvent</w:t>
      </w:r>
      <w:proofErr w:type="spellEnd"/>
      <w:r w:rsidR="00D452EB">
        <w:t xml:space="preserve"> T1 timer might in theory be used to “spread” the signalling to minimize signalling storms.</w:t>
      </w:r>
    </w:p>
    <w:p w14:paraId="175D3E0D" w14:textId="00894841" w:rsidR="00BB5711" w:rsidRDefault="00BB5711" w:rsidP="003D0826">
      <w:pPr>
        <w:ind w:left="1704" w:hanging="1420"/>
      </w:pPr>
      <w:r w:rsidRPr="00BB5711">
        <w:rPr>
          <w:b/>
          <w:bCs/>
        </w:rPr>
        <w:t xml:space="preserve">Observation </w:t>
      </w:r>
      <w:r w:rsidR="00EC4CA1">
        <w:rPr>
          <w:b/>
          <w:bCs/>
        </w:rPr>
        <w:t>4</w:t>
      </w:r>
      <w:r>
        <w:t>:</w:t>
      </w:r>
      <w:r w:rsidR="00EC4CA1">
        <w:tab/>
      </w:r>
      <w:r>
        <w:t xml:space="preserve">Option 3 could be applied to Rel-16/Rel-17 UEs and could mitigate signalling storms in Rel-17 UEs with </w:t>
      </w:r>
      <w:proofErr w:type="spellStart"/>
      <w:r>
        <w:t>CondEvent</w:t>
      </w:r>
      <w:proofErr w:type="spellEnd"/>
      <w:r>
        <w:t xml:space="preserve"> T1 timer.</w:t>
      </w:r>
    </w:p>
    <w:p w14:paraId="696A4481" w14:textId="0FE168FD" w:rsidR="00BB5711" w:rsidRDefault="00BB5711" w:rsidP="001A18B3">
      <w:r>
        <w:t>On the other hand, Option 1 may be beneficial if any type of legacy UE is to be supported without any further optimization requirements.</w:t>
      </w:r>
    </w:p>
    <w:p w14:paraId="18519490" w14:textId="4279555A" w:rsidR="00BB5711" w:rsidRDefault="00BB5711" w:rsidP="003D0826">
      <w:pPr>
        <w:ind w:left="1704" w:hanging="1420"/>
      </w:pPr>
      <w:r w:rsidRPr="00BB5711">
        <w:rPr>
          <w:b/>
          <w:bCs/>
        </w:rPr>
        <w:t xml:space="preserve">Observation </w:t>
      </w:r>
      <w:r w:rsidR="00EC4CA1">
        <w:rPr>
          <w:b/>
          <w:bCs/>
        </w:rPr>
        <w:t>5</w:t>
      </w:r>
      <w:r w:rsidRPr="00BB5711">
        <w:rPr>
          <w:b/>
          <w:bCs/>
        </w:rPr>
        <w:t>:</w:t>
      </w:r>
      <w:r w:rsidR="00EC4CA1">
        <w:rPr>
          <w:b/>
          <w:bCs/>
        </w:rPr>
        <w:tab/>
      </w:r>
      <w:r>
        <w:t>Option 1 can support legacy UEs without further optimization.</w:t>
      </w:r>
    </w:p>
    <w:p w14:paraId="518D2647" w14:textId="355535E1" w:rsidR="008B17FF" w:rsidRDefault="00B17E4F" w:rsidP="001A18B3">
      <w:r>
        <w:t>In our view, mobile-IAB should be capable of supporting legacy UEs</w:t>
      </w:r>
      <w:r w:rsidR="00BB5711">
        <w:t xml:space="preserve"> (not just Rel-18 and beyond)</w:t>
      </w:r>
      <w:r>
        <w:t>.</w:t>
      </w:r>
      <w:r w:rsidR="00CB55EC">
        <w:t xml:space="preserve"> </w:t>
      </w:r>
      <w:r>
        <w:t>Although Option 2 makes sense for scenarios where there is a specific type of UE to be served (e.g. N2N UEs), it should not be used for group mobility in the context mobile-IAB since it does not support legacy UEs.</w:t>
      </w:r>
    </w:p>
    <w:p w14:paraId="754CBB45" w14:textId="345D38F8" w:rsidR="00B17E4F" w:rsidRDefault="00B17E4F" w:rsidP="003D0826">
      <w:pPr>
        <w:ind w:left="1704" w:hanging="1420"/>
      </w:pPr>
      <w:r w:rsidRPr="00B17E4F">
        <w:rPr>
          <w:b/>
          <w:bCs/>
        </w:rPr>
        <w:t xml:space="preserve">Proposal </w:t>
      </w:r>
      <w:r w:rsidR="00EC4CA1">
        <w:rPr>
          <w:b/>
          <w:bCs/>
        </w:rPr>
        <w:t>5</w:t>
      </w:r>
      <w:r>
        <w:t>:</w:t>
      </w:r>
      <w:r w:rsidR="00EC4CA1">
        <w:tab/>
      </w:r>
      <w:r>
        <w:t>Exclude Option 2 for group mobility.</w:t>
      </w:r>
    </w:p>
    <w:p w14:paraId="27FCF1AA" w14:textId="10119F7C" w:rsidR="001211DF" w:rsidRDefault="001211DF" w:rsidP="001211DF">
      <w:pPr>
        <w:pStyle w:val="Heading2"/>
      </w:pPr>
      <w:r>
        <w:lastRenderedPageBreak/>
        <w:t>2.</w:t>
      </w:r>
      <w:r w:rsidR="6C002A20">
        <w:t>3</w:t>
      </w:r>
      <w:r>
        <w:tab/>
        <w:t>Preventing inter-donor IAB-node handover to a mobile-IAB cell</w:t>
      </w:r>
    </w:p>
    <w:p w14:paraId="2DCFBFA1" w14:textId="77777777" w:rsidR="001211DF" w:rsidRDefault="001211DF" w:rsidP="001211DF">
      <w:r>
        <w:t>RAN2#119 agreed:</w:t>
      </w:r>
    </w:p>
    <w:p w14:paraId="15F75829" w14:textId="77777777" w:rsidR="001211DF" w:rsidRPr="000011DD" w:rsidRDefault="001211DF" w:rsidP="001211DF">
      <w:pPr>
        <w:pStyle w:val="Agreement"/>
        <w:numPr>
          <w:ilvl w:val="0"/>
          <w:numId w:val="9"/>
        </w:numPr>
        <w:tabs>
          <w:tab w:val="clear" w:pos="1352"/>
          <w:tab w:val="num" w:pos="1619"/>
        </w:tabs>
        <w:spacing w:after="120"/>
        <w:ind w:left="1616" w:hanging="357"/>
        <w:rPr>
          <w:sz w:val="18"/>
          <w:szCs w:val="18"/>
        </w:rPr>
      </w:pPr>
      <w:r w:rsidRPr="000011DD">
        <w:rPr>
          <w:sz w:val="18"/>
          <w:szCs w:val="18"/>
        </w:rPr>
        <w:t>The method of not broadcasting “</w:t>
      </w:r>
      <w:proofErr w:type="spellStart"/>
      <w:r w:rsidRPr="000011DD">
        <w:rPr>
          <w:sz w:val="18"/>
          <w:szCs w:val="18"/>
        </w:rPr>
        <w:t>iab</w:t>
      </w:r>
      <w:proofErr w:type="spellEnd"/>
      <w:r w:rsidRPr="000011DD">
        <w:rPr>
          <w:sz w:val="18"/>
          <w:szCs w:val="18"/>
        </w:rPr>
        <w:t>-Support” indication, is sufficient to prevent other IAB-node from accessing mobile IAB (without further spec impact).</w:t>
      </w:r>
    </w:p>
    <w:p w14:paraId="4CFDDA1C" w14:textId="327D28D4" w:rsidR="001211DF" w:rsidRDefault="001211DF" w:rsidP="001211DF">
      <w:r>
        <w:t xml:space="preserve">We assume that this agreement applies to IAB-node integration only. In the context of handover – and particularly with inter-donor handover in mind, this agreement could suggest that before measurement reporting, an IAB node is required to receive the system information of neighbour cells to refrain from reporting cells </w:t>
      </w:r>
      <w:r w:rsidR="00803E80">
        <w:t xml:space="preserve">not </w:t>
      </w:r>
      <w:r>
        <w:t>broadcasting the “</w:t>
      </w:r>
      <w:proofErr w:type="spellStart"/>
      <w:r>
        <w:t>iab</w:t>
      </w:r>
      <w:proofErr w:type="spellEnd"/>
      <w:r>
        <w:t>-Support” indication. We would like RAN2 to confirm that this is not required.</w:t>
      </w:r>
    </w:p>
    <w:p w14:paraId="41A54D5F" w14:textId="22310BA5" w:rsidR="001211DF" w:rsidRPr="009315F5" w:rsidRDefault="001211DF" w:rsidP="003D0826">
      <w:pPr>
        <w:ind w:left="1704" w:hanging="1420"/>
        <w:rPr>
          <w:b/>
          <w:bCs/>
        </w:rPr>
      </w:pPr>
      <w:r w:rsidRPr="090573F3">
        <w:rPr>
          <w:b/>
          <w:bCs/>
        </w:rPr>
        <w:t xml:space="preserve">Proposal </w:t>
      </w:r>
      <w:r w:rsidR="00EC4CA1">
        <w:rPr>
          <w:b/>
          <w:bCs/>
        </w:rPr>
        <w:t>6</w:t>
      </w:r>
      <w:r w:rsidRPr="090573F3">
        <w:rPr>
          <w:b/>
          <w:bCs/>
        </w:rPr>
        <w:t>:</w:t>
      </w:r>
      <w:r w:rsidR="00D35F21">
        <w:rPr>
          <w:b/>
          <w:bCs/>
        </w:rPr>
        <w:tab/>
      </w:r>
      <w:r w:rsidRPr="003D0826">
        <w:t xml:space="preserve">An IAB node is not required to receive the system information of neighbour cells to refrain from reporting measurements of cells </w:t>
      </w:r>
      <w:r w:rsidR="007B665B">
        <w:t xml:space="preserve">not </w:t>
      </w:r>
      <w:r w:rsidRPr="003D0826">
        <w:t>broadcasting the “</w:t>
      </w:r>
      <w:proofErr w:type="spellStart"/>
      <w:r w:rsidRPr="003D0826">
        <w:t>iab</w:t>
      </w:r>
      <w:proofErr w:type="spellEnd"/>
      <w:r w:rsidRPr="003D0826">
        <w:t>-Support” indication.</w:t>
      </w:r>
    </w:p>
    <w:p w14:paraId="6FA35B4D" w14:textId="3A72019C" w:rsidR="00892C08" w:rsidRPr="006E13D1" w:rsidRDefault="00892C08" w:rsidP="00892C08">
      <w:pPr>
        <w:pStyle w:val="Heading2"/>
      </w:pPr>
      <w:r>
        <w:t>2.</w:t>
      </w:r>
      <w:r w:rsidR="0E1C2A7A">
        <w:t>4</w:t>
      </w:r>
      <w:r>
        <w:tab/>
      </w:r>
      <w:r w:rsidR="00EA53B3">
        <w:t>RACH-less HO</w:t>
      </w:r>
    </w:p>
    <w:p w14:paraId="721D6B58" w14:textId="217678AF" w:rsidR="008211BB" w:rsidRPr="009315F5" w:rsidRDefault="008211BB" w:rsidP="008211BB">
      <w:r w:rsidRPr="009315F5">
        <w:t>Known from Rel-14</w:t>
      </w:r>
      <w:r w:rsidR="00EB7458">
        <w:t>,</w:t>
      </w:r>
      <w:r w:rsidRPr="009315F5">
        <w:t xml:space="preserve"> RACH-less HO solution aimed to achieve reductions in the data connectivity interruption time and reduced overall handover execution time at each handover, through skipping the random access in the target cell. The procedure required </w:t>
      </w:r>
      <w:r w:rsidRPr="004A1347">
        <w:t xml:space="preserve">the UE </w:t>
      </w:r>
      <w:r>
        <w:t xml:space="preserve">to </w:t>
      </w:r>
      <w:r w:rsidRPr="004A1347">
        <w:t xml:space="preserve">accesses the target cell via the uplink grant </w:t>
      </w:r>
      <w:proofErr w:type="spellStart"/>
      <w:r w:rsidRPr="004A1347">
        <w:t>preallocated</w:t>
      </w:r>
      <w:proofErr w:type="spellEnd"/>
      <w:r w:rsidRPr="004A1347">
        <w:t xml:space="preserve"> to the UE in the </w:t>
      </w:r>
      <w:r>
        <w:t xml:space="preserve">preconfigured </w:t>
      </w:r>
      <w:r w:rsidRPr="004A1347">
        <w:t xml:space="preserve">RRC message. </w:t>
      </w:r>
      <w:r w:rsidRPr="009315F5">
        <w:t xml:space="preserve">For mobile-IAB operation, RACH-less procedure would need to be applied also for a group mobility, which would require a group </w:t>
      </w:r>
      <w:proofErr w:type="spellStart"/>
      <w:r w:rsidRPr="009315F5">
        <w:t>preallocation</w:t>
      </w:r>
      <w:proofErr w:type="spellEnd"/>
      <w:r w:rsidRPr="009315F5">
        <w:t xml:space="preserve"> of the resources and dedicated signalling to all on-board UEs. </w:t>
      </w:r>
      <w:r>
        <w:t>As discussed during RAN2#</w:t>
      </w:r>
      <w:r w:rsidR="00344525">
        <w:t>119bis-e</w:t>
      </w:r>
      <w:r>
        <w:t xml:space="preserve">, RACH-less HO in the mobile IAB scenario might not be possible for legacy UEs, and it is still FFS how Rel-18 UEs can even determine whether they are on-board a mobile IAB cell. </w:t>
      </w:r>
      <w:r w:rsidRPr="009315F5">
        <w:t>For these reasons, and to achieve minimized impact on IAB-node functions, we suggest not to introduce mobile-IAB specific RACH-less</w:t>
      </w:r>
      <w:r>
        <w:t xml:space="preserve"> HO.</w:t>
      </w:r>
      <w:r w:rsidRPr="009315F5">
        <w:t xml:space="preserve"> </w:t>
      </w:r>
    </w:p>
    <w:p w14:paraId="6DAC12FD" w14:textId="425799FE" w:rsidR="008211BB" w:rsidRPr="009315F5" w:rsidRDefault="008211BB" w:rsidP="003D0826">
      <w:pPr>
        <w:ind w:left="1704" w:hanging="1420"/>
        <w:rPr>
          <w:b/>
          <w:bCs/>
        </w:rPr>
      </w:pPr>
      <w:r w:rsidRPr="009315F5">
        <w:rPr>
          <w:b/>
          <w:bCs/>
        </w:rPr>
        <w:t xml:space="preserve">Proposal </w:t>
      </w:r>
      <w:r w:rsidR="00EC4CA1">
        <w:rPr>
          <w:b/>
          <w:bCs/>
        </w:rPr>
        <w:t>7</w:t>
      </w:r>
      <w:r w:rsidRPr="009315F5">
        <w:rPr>
          <w:b/>
          <w:bCs/>
        </w:rPr>
        <w:t>:</w:t>
      </w:r>
      <w:r w:rsidR="00D35F21">
        <w:rPr>
          <w:b/>
          <w:bCs/>
        </w:rPr>
        <w:tab/>
      </w:r>
      <w:r w:rsidRPr="003D0826">
        <w:t>mobile-IAB specific RACH-less HO is not pursued.</w:t>
      </w:r>
      <w:r w:rsidRPr="009315F5">
        <w:rPr>
          <w:b/>
          <w:bCs/>
        </w:rPr>
        <w:t>   </w:t>
      </w:r>
    </w:p>
    <w:p w14:paraId="69B7B8E6" w14:textId="69E07FC9" w:rsidR="009339CB" w:rsidRPr="006E13D1" w:rsidRDefault="005A13AB" w:rsidP="009339CB">
      <w:pPr>
        <w:pStyle w:val="Heading1"/>
      </w:pPr>
      <w:r>
        <w:t>3</w:t>
      </w:r>
      <w:r w:rsidR="009339CB" w:rsidRPr="006E13D1">
        <w:tab/>
      </w:r>
      <w:r w:rsidR="009339CB">
        <w:t>Conclusion</w:t>
      </w:r>
    </w:p>
    <w:p w14:paraId="6E24B0F4" w14:textId="558F776D" w:rsidR="009339CB" w:rsidRPr="006E13D1" w:rsidRDefault="001A18B3" w:rsidP="009339CB">
      <w:r>
        <w:t>In t</w:t>
      </w:r>
      <w:r w:rsidR="009339CB">
        <w:t>his document</w:t>
      </w:r>
      <w:r>
        <w:t xml:space="preserve"> we have discussed the open issues related to IAB mobility support and made following observations: </w:t>
      </w:r>
    </w:p>
    <w:p w14:paraId="458B57D4" w14:textId="77777777" w:rsidR="00D35F21" w:rsidRDefault="00D35F21" w:rsidP="00D35F21">
      <w:pPr>
        <w:ind w:left="1704" w:hanging="1420"/>
      </w:pPr>
      <w:r w:rsidRPr="00A41175">
        <w:rPr>
          <w:b/>
        </w:rPr>
        <w:t>Observation</w:t>
      </w:r>
      <w:r>
        <w:rPr>
          <w:b/>
        </w:rPr>
        <w:t xml:space="preserve"> 1</w:t>
      </w:r>
      <w:r>
        <w:t>:</w:t>
      </w:r>
      <w:r>
        <w:tab/>
        <w:t>Relying only on the legacy SIB indication “IAB supported” at integration of a mobile IAB node:</w:t>
      </w:r>
      <w:r>
        <w:br/>
        <w:t>- the node may integrate to a donor not supporting DU migration, rendering the IAB DU immobile</w:t>
      </w:r>
      <w:r w:rsidRPr="00AB5E51">
        <w:t xml:space="preserve"> </w:t>
      </w:r>
      <w:r>
        <w:t>regardless of mobility;</w:t>
      </w:r>
      <w:r>
        <w:br/>
        <w:t>- the donor node may assume that the IAB node supports child nodes, which may be incorrect.</w:t>
      </w:r>
    </w:p>
    <w:p w14:paraId="0DB53B0F" w14:textId="77777777" w:rsidR="00D35F21" w:rsidRDefault="00D35F21" w:rsidP="00D35F21">
      <w:pPr>
        <w:ind w:left="1704" w:hanging="1420"/>
      </w:pPr>
      <w:r w:rsidRPr="00303D47">
        <w:rPr>
          <w:b/>
          <w:bCs/>
        </w:rPr>
        <w:t xml:space="preserve">Observation </w:t>
      </w:r>
      <w:r>
        <w:rPr>
          <w:b/>
          <w:bCs/>
        </w:rPr>
        <w:t>2</w:t>
      </w:r>
      <w:r w:rsidRPr="00303D47">
        <w:rPr>
          <w:b/>
          <w:bCs/>
        </w:rPr>
        <w:t>:</w:t>
      </w:r>
      <w:r>
        <w:rPr>
          <w:b/>
          <w:bCs/>
        </w:rPr>
        <w:tab/>
      </w:r>
      <w:r w:rsidRPr="00303D47">
        <w:t>Signalling storm</w:t>
      </w:r>
      <w:r>
        <w:t>s</w:t>
      </w:r>
      <w:r w:rsidRPr="00303D47">
        <w:t xml:space="preserve"> </w:t>
      </w:r>
      <w:r>
        <w:t>related to group handover might not be an issue if both cells/logical DUs of the mobile IAB can be active simultaneously.</w:t>
      </w:r>
    </w:p>
    <w:p w14:paraId="7CA75628" w14:textId="77777777" w:rsidR="00D35F21" w:rsidRPr="00303D47" w:rsidRDefault="00D35F21" w:rsidP="00D35F21">
      <w:pPr>
        <w:ind w:left="1704" w:hanging="1420"/>
      </w:pPr>
      <w:r w:rsidRPr="00EB298B">
        <w:rPr>
          <w:b/>
          <w:bCs/>
        </w:rPr>
        <w:t xml:space="preserve">Observation </w:t>
      </w:r>
      <w:r>
        <w:rPr>
          <w:b/>
          <w:bCs/>
        </w:rPr>
        <w:t>3</w:t>
      </w:r>
      <w:r w:rsidRPr="00EB298B">
        <w:rPr>
          <w:b/>
          <w:bCs/>
        </w:rPr>
        <w:t>:</w:t>
      </w:r>
      <w:r>
        <w:tab/>
        <w:t>If the logical DUs of the mobile IAB use separate physical cell resources then it is possible to activate the cells simultaneously, in which case UEs could be handed over one by one instead of handing over the whole group of UEs at once.</w:t>
      </w:r>
    </w:p>
    <w:p w14:paraId="3AA14713" w14:textId="77777777" w:rsidR="00D35F21" w:rsidRDefault="00D35F21" w:rsidP="00D35F21">
      <w:pPr>
        <w:ind w:left="1704" w:hanging="1420"/>
      </w:pPr>
      <w:r w:rsidRPr="00BB5711">
        <w:rPr>
          <w:b/>
          <w:bCs/>
        </w:rPr>
        <w:t xml:space="preserve">Observation </w:t>
      </w:r>
      <w:r>
        <w:rPr>
          <w:b/>
          <w:bCs/>
        </w:rPr>
        <w:t>4</w:t>
      </w:r>
      <w:r>
        <w:t>:</w:t>
      </w:r>
      <w:r>
        <w:tab/>
        <w:t xml:space="preserve">Option 3 could be applied to Rel-16/Rel-17 UEs and could mitigate signalling storms in Rel-17 UEs with </w:t>
      </w:r>
      <w:proofErr w:type="spellStart"/>
      <w:r>
        <w:t>CondEvent</w:t>
      </w:r>
      <w:proofErr w:type="spellEnd"/>
      <w:r>
        <w:t xml:space="preserve"> T1 timer.</w:t>
      </w:r>
    </w:p>
    <w:p w14:paraId="572DE385" w14:textId="59008D97" w:rsidR="001A18B3" w:rsidRPr="003D0826" w:rsidRDefault="00D35F21" w:rsidP="003D0826">
      <w:pPr>
        <w:ind w:left="1704" w:hanging="1420"/>
      </w:pPr>
      <w:r w:rsidRPr="00BB5711">
        <w:rPr>
          <w:b/>
          <w:bCs/>
        </w:rPr>
        <w:t xml:space="preserve">Observation </w:t>
      </w:r>
      <w:r>
        <w:rPr>
          <w:b/>
          <w:bCs/>
        </w:rPr>
        <w:t>5</w:t>
      </w:r>
      <w:r w:rsidRPr="00BB5711">
        <w:rPr>
          <w:b/>
          <w:bCs/>
        </w:rPr>
        <w:t>:</w:t>
      </w:r>
      <w:r>
        <w:rPr>
          <w:b/>
          <w:bCs/>
        </w:rPr>
        <w:tab/>
      </w:r>
      <w:r>
        <w:t>Option 1 can support legacy UEs without further optimization.</w:t>
      </w:r>
    </w:p>
    <w:p w14:paraId="56EEE39D" w14:textId="5BC1A3B8" w:rsidR="009339CB" w:rsidRDefault="001A18B3" w:rsidP="009339CB">
      <w:r>
        <w:t>Based on the analysis we propose following:</w:t>
      </w:r>
    </w:p>
    <w:p w14:paraId="5EF8C31D" w14:textId="77777777" w:rsidR="00D35F21" w:rsidRDefault="00D35F21" w:rsidP="00D35F21">
      <w:pPr>
        <w:ind w:left="1704" w:hanging="1420"/>
      </w:pPr>
      <w:r w:rsidRPr="00FC6EFF">
        <w:rPr>
          <w:b/>
          <w:bCs/>
        </w:rPr>
        <w:t xml:space="preserve">Proposal </w:t>
      </w:r>
      <w:r>
        <w:rPr>
          <w:b/>
          <w:bCs/>
        </w:rPr>
        <w:t>1</w:t>
      </w:r>
      <w:r w:rsidRPr="001F6A0B">
        <w:t>:</w:t>
      </w:r>
      <w:r w:rsidRPr="001F6A0B">
        <w:tab/>
      </w:r>
      <w:r>
        <w:t>How to use the 1 bit mobile-IAB cell indication is left to UE implementation, and no further optimization for Rel-18 UE cell (re)selection specifications.</w:t>
      </w:r>
    </w:p>
    <w:p w14:paraId="2700A613" w14:textId="58D0D7EF" w:rsidR="00D35F21" w:rsidRDefault="00D35F21" w:rsidP="00D35F21">
      <w:pPr>
        <w:ind w:left="1704" w:hanging="1420"/>
      </w:pPr>
      <w:r>
        <w:rPr>
          <w:b/>
        </w:rPr>
        <w:t>Proposal 2</w:t>
      </w:r>
      <w:r w:rsidRPr="00A41175">
        <w:t>:</w:t>
      </w:r>
      <w:r>
        <w:tab/>
        <w:t>In order to function as one, a mobile IAB node only integrates into a cell broadcasting a new indication “Mobile IAB supported”.</w:t>
      </w:r>
    </w:p>
    <w:p w14:paraId="5EEFEC6F" w14:textId="40BB3738" w:rsidR="00D35F21" w:rsidRDefault="00D35F21" w:rsidP="003D0826">
      <w:pPr>
        <w:ind w:left="1704" w:hanging="1420"/>
      </w:pPr>
      <w:r w:rsidRPr="00D35F21">
        <w:rPr>
          <w:b/>
          <w:bCs/>
        </w:rPr>
        <w:t>Proposal</w:t>
      </w:r>
      <w:r w:rsidRPr="00A41175">
        <w:rPr>
          <w:b/>
        </w:rPr>
        <w:t xml:space="preserve"> </w:t>
      </w:r>
      <w:r>
        <w:rPr>
          <w:b/>
        </w:rPr>
        <w:t>3</w:t>
      </w:r>
      <w:r>
        <w:t>:</w:t>
      </w:r>
      <w:r>
        <w:tab/>
        <w:t>A donor broadcasting “Mobile IAB supported” checks the UE capability of an IAB node before configuring child nodes to the node or sending Handover request for the node.</w:t>
      </w:r>
    </w:p>
    <w:p w14:paraId="354E4DBE" w14:textId="77777777" w:rsidR="00D35F21" w:rsidRDefault="00D35F21" w:rsidP="003D0826">
      <w:pPr>
        <w:ind w:left="1704" w:hanging="1420"/>
      </w:pPr>
      <w:r w:rsidRPr="00A41175">
        <w:rPr>
          <w:b/>
        </w:rPr>
        <w:t xml:space="preserve">Proposal </w:t>
      </w:r>
      <w:r>
        <w:rPr>
          <w:b/>
        </w:rPr>
        <w:t>4</w:t>
      </w:r>
      <w:r>
        <w:t>:</w:t>
      </w:r>
      <w:r>
        <w:tab/>
        <w:t>Reporting of moving status relies on legacy mechanisms, such as the reporting of location and velocity estimate already configurable in NR measurement reporting.</w:t>
      </w:r>
    </w:p>
    <w:p w14:paraId="18094FB0" w14:textId="77777777" w:rsidR="00D35F21" w:rsidRDefault="00D35F21" w:rsidP="00D35F21">
      <w:pPr>
        <w:ind w:left="1704" w:hanging="1420"/>
      </w:pPr>
      <w:r w:rsidRPr="00B17E4F">
        <w:rPr>
          <w:b/>
          <w:bCs/>
        </w:rPr>
        <w:lastRenderedPageBreak/>
        <w:t xml:space="preserve">Proposal </w:t>
      </w:r>
      <w:r>
        <w:rPr>
          <w:b/>
          <w:bCs/>
        </w:rPr>
        <w:t>5</w:t>
      </w:r>
      <w:r>
        <w:t>:</w:t>
      </w:r>
      <w:r>
        <w:tab/>
        <w:t>Exclude Option 2 for group mobility.</w:t>
      </w:r>
    </w:p>
    <w:p w14:paraId="3842C85D" w14:textId="0F8F7661" w:rsidR="00D35F21" w:rsidRPr="009315F5" w:rsidRDefault="00D35F21" w:rsidP="00D35F21">
      <w:pPr>
        <w:ind w:left="1704" w:hanging="1420"/>
        <w:rPr>
          <w:b/>
          <w:bCs/>
        </w:rPr>
      </w:pPr>
      <w:r w:rsidRPr="090573F3">
        <w:rPr>
          <w:b/>
          <w:bCs/>
        </w:rPr>
        <w:t xml:space="preserve">Proposal </w:t>
      </w:r>
      <w:r>
        <w:rPr>
          <w:b/>
          <w:bCs/>
        </w:rPr>
        <w:t>6</w:t>
      </w:r>
      <w:r w:rsidRPr="090573F3">
        <w:rPr>
          <w:b/>
          <w:bCs/>
        </w:rPr>
        <w:t>:</w:t>
      </w:r>
      <w:r>
        <w:rPr>
          <w:b/>
          <w:bCs/>
        </w:rPr>
        <w:tab/>
      </w:r>
      <w:r w:rsidRPr="00032EE5">
        <w:t xml:space="preserve">An IAB node is not required to receive the system information of neighbour cells to refrain from reporting measurements of cells </w:t>
      </w:r>
      <w:r w:rsidR="007B665B">
        <w:t xml:space="preserve">not </w:t>
      </w:r>
      <w:r w:rsidRPr="00032EE5">
        <w:t>broadcasting the “</w:t>
      </w:r>
      <w:proofErr w:type="spellStart"/>
      <w:r w:rsidRPr="00032EE5">
        <w:t>iab</w:t>
      </w:r>
      <w:proofErr w:type="spellEnd"/>
      <w:r w:rsidRPr="00032EE5">
        <w:t>-Support” indication.</w:t>
      </w:r>
    </w:p>
    <w:p w14:paraId="750D5ED0" w14:textId="77777777" w:rsidR="00D35F21" w:rsidRPr="009315F5" w:rsidRDefault="00D35F21" w:rsidP="00D35F21">
      <w:pPr>
        <w:ind w:left="1704" w:hanging="1420"/>
        <w:rPr>
          <w:b/>
          <w:bCs/>
        </w:rPr>
      </w:pPr>
      <w:r w:rsidRPr="009315F5">
        <w:rPr>
          <w:b/>
          <w:bCs/>
        </w:rPr>
        <w:t xml:space="preserve">Proposal </w:t>
      </w:r>
      <w:r>
        <w:rPr>
          <w:b/>
          <w:bCs/>
        </w:rPr>
        <w:t>7</w:t>
      </w:r>
      <w:r w:rsidRPr="009315F5">
        <w:rPr>
          <w:b/>
          <w:bCs/>
        </w:rPr>
        <w:t>:</w:t>
      </w:r>
      <w:r>
        <w:rPr>
          <w:b/>
          <w:bCs/>
        </w:rPr>
        <w:tab/>
      </w:r>
      <w:r w:rsidRPr="00032EE5">
        <w:t>mobile-IAB specific RACH-less HO is not pursued.</w:t>
      </w:r>
      <w:r w:rsidRPr="009315F5">
        <w:rPr>
          <w:b/>
          <w:bCs/>
        </w:rPr>
        <w:t>   </w:t>
      </w:r>
    </w:p>
    <w:p w14:paraId="35F222F4" w14:textId="77777777" w:rsidR="00080512" w:rsidRPr="00A209D6" w:rsidRDefault="00080512" w:rsidP="009339CB"/>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FFE12" w14:textId="77777777" w:rsidR="007C1BFC" w:rsidRDefault="007C1BFC">
      <w:r>
        <w:separator/>
      </w:r>
    </w:p>
  </w:endnote>
  <w:endnote w:type="continuationSeparator" w:id="0">
    <w:p w14:paraId="2366236B" w14:textId="77777777" w:rsidR="007C1BFC" w:rsidRDefault="007C1BFC">
      <w:r>
        <w:continuationSeparator/>
      </w:r>
    </w:p>
  </w:endnote>
  <w:endnote w:type="continuationNotice" w:id="1">
    <w:p w14:paraId="096F4404" w14:textId="77777777" w:rsidR="007C1BFC" w:rsidRDefault="007C1B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A9121" w14:textId="77777777" w:rsidR="007C1BFC" w:rsidRDefault="007C1BFC">
      <w:r>
        <w:separator/>
      </w:r>
    </w:p>
  </w:footnote>
  <w:footnote w:type="continuationSeparator" w:id="0">
    <w:p w14:paraId="19478098" w14:textId="77777777" w:rsidR="007C1BFC" w:rsidRDefault="007C1BFC">
      <w:r>
        <w:continuationSeparator/>
      </w:r>
    </w:p>
  </w:footnote>
  <w:footnote w:type="continuationNotice" w:id="1">
    <w:p w14:paraId="5F655DD7" w14:textId="77777777" w:rsidR="007C1BFC" w:rsidRDefault="007C1B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AE74BD"/>
    <w:multiLevelType w:val="hybridMultilevel"/>
    <w:tmpl w:val="873ECD94"/>
    <w:lvl w:ilvl="0" w:tplc="EF205E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2E090B"/>
    <w:multiLevelType w:val="hybridMultilevel"/>
    <w:tmpl w:val="A8AA1CA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4" w15:restartNumberingAfterBreak="0">
    <w:nsid w:val="31B76F78"/>
    <w:multiLevelType w:val="hybridMultilevel"/>
    <w:tmpl w:val="FBB60296"/>
    <w:lvl w:ilvl="0" w:tplc="161C74CA">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7855182"/>
    <w:multiLevelType w:val="hybridMultilevel"/>
    <w:tmpl w:val="41747D0C"/>
    <w:lvl w:ilvl="0" w:tplc="EF205E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731E87"/>
    <w:multiLevelType w:val="hybridMultilevel"/>
    <w:tmpl w:val="946ED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D418A5"/>
    <w:multiLevelType w:val="hybridMultilevel"/>
    <w:tmpl w:val="F3F6ABC6"/>
    <w:lvl w:ilvl="0" w:tplc="7602B4FE">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10"/>
  </w:num>
  <w:num w:numId="9">
    <w:abstractNumId w:val="10"/>
  </w:num>
  <w:num w:numId="10">
    <w:abstractNumId w:val="12"/>
  </w:num>
  <w:num w:numId="11">
    <w:abstractNumId w:val="4"/>
  </w:num>
  <w:num w:numId="12">
    <w:abstractNumId w:val="3"/>
  </w:num>
  <w:num w:numId="13">
    <w:abstractNumId w:val="11"/>
  </w:num>
  <w:num w:numId="14">
    <w:abstractNumId w:val="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AB0"/>
    <w:rsid w:val="00016557"/>
    <w:rsid w:val="00023C40"/>
    <w:rsid w:val="00027EE8"/>
    <w:rsid w:val="00033397"/>
    <w:rsid w:val="00040095"/>
    <w:rsid w:val="00065268"/>
    <w:rsid w:val="00066298"/>
    <w:rsid w:val="00066587"/>
    <w:rsid w:val="00073C9C"/>
    <w:rsid w:val="00076412"/>
    <w:rsid w:val="00080512"/>
    <w:rsid w:val="00090468"/>
    <w:rsid w:val="00094568"/>
    <w:rsid w:val="000B7BCF"/>
    <w:rsid w:val="000C1FBB"/>
    <w:rsid w:val="000C522B"/>
    <w:rsid w:val="000D58AB"/>
    <w:rsid w:val="000F650D"/>
    <w:rsid w:val="000F6680"/>
    <w:rsid w:val="00112F1A"/>
    <w:rsid w:val="001211DF"/>
    <w:rsid w:val="00145075"/>
    <w:rsid w:val="001741A0"/>
    <w:rsid w:val="00175FA0"/>
    <w:rsid w:val="00194CD0"/>
    <w:rsid w:val="001A18B3"/>
    <w:rsid w:val="001B49C9"/>
    <w:rsid w:val="001C23F4"/>
    <w:rsid w:val="001C4F79"/>
    <w:rsid w:val="001F168B"/>
    <w:rsid w:val="001F6A0B"/>
    <w:rsid w:val="001F7831"/>
    <w:rsid w:val="00204045"/>
    <w:rsid w:val="0020712B"/>
    <w:rsid w:val="0022606D"/>
    <w:rsid w:val="00231728"/>
    <w:rsid w:val="00244A05"/>
    <w:rsid w:val="00250404"/>
    <w:rsid w:val="0025157A"/>
    <w:rsid w:val="00256B74"/>
    <w:rsid w:val="002610D8"/>
    <w:rsid w:val="002747EC"/>
    <w:rsid w:val="002855BF"/>
    <w:rsid w:val="002A466F"/>
    <w:rsid w:val="002B2988"/>
    <w:rsid w:val="002C316D"/>
    <w:rsid w:val="002F0D22"/>
    <w:rsid w:val="00303D47"/>
    <w:rsid w:val="00311B17"/>
    <w:rsid w:val="003172DC"/>
    <w:rsid w:val="00325AE3"/>
    <w:rsid w:val="00326069"/>
    <w:rsid w:val="00344525"/>
    <w:rsid w:val="0035462D"/>
    <w:rsid w:val="0036459E"/>
    <w:rsid w:val="00364B41"/>
    <w:rsid w:val="00383096"/>
    <w:rsid w:val="00390674"/>
    <w:rsid w:val="0039346C"/>
    <w:rsid w:val="003A41EF"/>
    <w:rsid w:val="003B40AD"/>
    <w:rsid w:val="003C4E37"/>
    <w:rsid w:val="003D0826"/>
    <w:rsid w:val="003E16BE"/>
    <w:rsid w:val="003F4E28"/>
    <w:rsid w:val="004006E8"/>
    <w:rsid w:val="00401855"/>
    <w:rsid w:val="00445F7C"/>
    <w:rsid w:val="00446C3A"/>
    <w:rsid w:val="00465587"/>
    <w:rsid w:val="00477455"/>
    <w:rsid w:val="004A1F7B"/>
    <w:rsid w:val="004C44D2"/>
    <w:rsid w:val="004C6155"/>
    <w:rsid w:val="004D3578"/>
    <w:rsid w:val="004D380D"/>
    <w:rsid w:val="004E213A"/>
    <w:rsid w:val="004F4540"/>
    <w:rsid w:val="004F73A7"/>
    <w:rsid w:val="00503171"/>
    <w:rsid w:val="00506C28"/>
    <w:rsid w:val="00534496"/>
    <w:rsid w:val="00534DA0"/>
    <w:rsid w:val="00543E6C"/>
    <w:rsid w:val="00565087"/>
    <w:rsid w:val="0056573F"/>
    <w:rsid w:val="00571279"/>
    <w:rsid w:val="005A13AB"/>
    <w:rsid w:val="005A49C6"/>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9755B"/>
    <w:rsid w:val="007A2E55"/>
    <w:rsid w:val="007B18D8"/>
    <w:rsid w:val="007B665B"/>
    <w:rsid w:val="007C095F"/>
    <w:rsid w:val="007C1BFC"/>
    <w:rsid w:val="007C2DD0"/>
    <w:rsid w:val="007E79BD"/>
    <w:rsid w:val="007F2E08"/>
    <w:rsid w:val="008024FA"/>
    <w:rsid w:val="008028A4"/>
    <w:rsid w:val="00803E80"/>
    <w:rsid w:val="00813245"/>
    <w:rsid w:val="008211BB"/>
    <w:rsid w:val="00840DE0"/>
    <w:rsid w:val="00842745"/>
    <w:rsid w:val="00847CD0"/>
    <w:rsid w:val="008607A8"/>
    <w:rsid w:val="0086354A"/>
    <w:rsid w:val="008768CA"/>
    <w:rsid w:val="00877EF9"/>
    <w:rsid w:val="00880559"/>
    <w:rsid w:val="00892C08"/>
    <w:rsid w:val="008A1540"/>
    <w:rsid w:val="008B17FF"/>
    <w:rsid w:val="008B5306"/>
    <w:rsid w:val="008B54E8"/>
    <w:rsid w:val="008C2E2A"/>
    <w:rsid w:val="008C3057"/>
    <w:rsid w:val="008C7ED7"/>
    <w:rsid w:val="008D2E4D"/>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928A9"/>
    <w:rsid w:val="009A0AF3"/>
    <w:rsid w:val="009A50FE"/>
    <w:rsid w:val="009B07CD"/>
    <w:rsid w:val="009C19E9"/>
    <w:rsid w:val="009D74A6"/>
    <w:rsid w:val="009E0E87"/>
    <w:rsid w:val="009F4779"/>
    <w:rsid w:val="00A10F02"/>
    <w:rsid w:val="00A17176"/>
    <w:rsid w:val="00A204CA"/>
    <w:rsid w:val="00A209D6"/>
    <w:rsid w:val="00A22738"/>
    <w:rsid w:val="00A350C0"/>
    <w:rsid w:val="00A36F5F"/>
    <w:rsid w:val="00A430EC"/>
    <w:rsid w:val="00A51F4B"/>
    <w:rsid w:val="00A53724"/>
    <w:rsid w:val="00A54B2B"/>
    <w:rsid w:val="00A703B6"/>
    <w:rsid w:val="00A82346"/>
    <w:rsid w:val="00A9671C"/>
    <w:rsid w:val="00AA1553"/>
    <w:rsid w:val="00AA1D1C"/>
    <w:rsid w:val="00B05380"/>
    <w:rsid w:val="00B05962"/>
    <w:rsid w:val="00B15449"/>
    <w:rsid w:val="00B15C6D"/>
    <w:rsid w:val="00B16C2F"/>
    <w:rsid w:val="00B17E4F"/>
    <w:rsid w:val="00B200EB"/>
    <w:rsid w:val="00B27303"/>
    <w:rsid w:val="00B36DFC"/>
    <w:rsid w:val="00B47FD1"/>
    <w:rsid w:val="00B516BB"/>
    <w:rsid w:val="00B63A19"/>
    <w:rsid w:val="00B7538C"/>
    <w:rsid w:val="00B84DB2"/>
    <w:rsid w:val="00BB0DF9"/>
    <w:rsid w:val="00BB5711"/>
    <w:rsid w:val="00BC3555"/>
    <w:rsid w:val="00C12B51"/>
    <w:rsid w:val="00C163A9"/>
    <w:rsid w:val="00C24650"/>
    <w:rsid w:val="00C25465"/>
    <w:rsid w:val="00C33079"/>
    <w:rsid w:val="00C42C5B"/>
    <w:rsid w:val="00C55A12"/>
    <w:rsid w:val="00C6553E"/>
    <w:rsid w:val="00C732BB"/>
    <w:rsid w:val="00C77638"/>
    <w:rsid w:val="00C8350D"/>
    <w:rsid w:val="00C83A13"/>
    <w:rsid w:val="00C86F10"/>
    <w:rsid w:val="00C9068C"/>
    <w:rsid w:val="00C92967"/>
    <w:rsid w:val="00CA3D0C"/>
    <w:rsid w:val="00CA654B"/>
    <w:rsid w:val="00CB55EC"/>
    <w:rsid w:val="00CB72B8"/>
    <w:rsid w:val="00CC70F7"/>
    <w:rsid w:val="00CD0BA8"/>
    <w:rsid w:val="00CD4C7B"/>
    <w:rsid w:val="00CD58FE"/>
    <w:rsid w:val="00D33BE3"/>
    <w:rsid w:val="00D35F21"/>
    <w:rsid w:val="00D3792D"/>
    <w:rsid w:val="00D452EB"/>
    <w:rsid w:val="00D55E47"/>
    <w:rsid w:val="00D62E19"/>
    <w:rsid w:val="00D639B4"/>
    <w:rsid w:val="00D67CD1"/>
    <w:rsid w:val="00D738D6"/>
    <w:rsid w:val="00D80795"/>
    <w:rsid w:val="00D85007"/>
    <w:rsid w:val="00D854BE"/>
    <w:rsid w:val="00D87E00"/>
    <w:rsid w:val="00D9134D"/>
    <w:rsid w:val="00D96D11"/>
    <w:rsid w:val="00DA7A03"/>
    <w:rsid w:val="00DB0DB8"/>
    <w:rsid w:val="00DB1818"/>
    <w:rsid w:val="00DC309B"/>
    <w:rsid w:val="00DC4DA2"/>
    <w:rsid w:val="00DC5261"/>
    <w:rsid w:val="00DE25D2"/>
    <w:rsid w:val="00DF7C20"/>
    <w:rsid w:val="00E025EF"/>
    <w:rsid w:val="00E46C08"/>
    <w:rsid w:val="00E471CF"/>
    <w:rsid w:val="00E56793"/>
    <w:rsid w:val="00E62835"/>
    <w:rsid w:val="00E77645"/>
    <w:rsid w:val="00E83697"/>
    <w:rsid w:val="00E859B6"/>
    <w:rsid w:val="00EA53B3"/>
    <w:rsid w:val="00EA66C9"/>
    <w:rsid w:val="00EB298B"/>
    <w:rsid w:val="00EB5D32"/>
    <w:rsid w:val="00EB7458"/>
    <w:rsid w:val="00EC4A25"/>
    <w:rsid w:val="00EC4B0A"/>
    <w:rsid w:val="00EC4CA1"/>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97102"/>
    <w:rsid w:val="00FA1266"/>
    <w:rsid w:val="00FB36FA"/>
    <w:rsid w:val="00FC1192"/>
    <w:rsid w:val="00FC6EFF"/>
    <w:rsid w:val="00FE106D"/>
    <w:rsid w:val="00FE251B"/>
    <w:rsid w:val="090573F3"/>
    <w:rsid w:val="0E1C2A7A"/>
    <w:rsid w:val="10D8F88B"/>
    <w:rsid w:val="1A0F5AB0"/>
    <w:rsid w:val="1AE7BDD7"/>
    <w:rsid w:val="4E81CF26"/>
    <w:rsid w:val="57D12B50"/>
    <w:rsid w:val="5D72C64F"/>
    <w:rsid w:val="5F5CAD4C"/>
    <w:rsid w:val="65135832"/>
    <w:rsid w:val="6C002A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qFormat/>
    <w:rsid w:val="00EC4B0A"/>
    <w:pPr>
      <w:numPr>
        <w:numId w:val="8"/>
      </w:numPr>
      <w:tabs>
        <w:tab w:val="clear" w:pos="1352"/>
        <w:tab w:val="num" w:pos="1619"/>
      </w:tabs>
      <w:spacing w:before="60" w:after="0"/>
      <w:ind w:left="1619"/>
    </w:pPr>
    <w:rPr>
      <w:rFonts w:ascii="Arial" w:eastAsia="MS Mincho" w:hAnsi="Arial"/>
      <w:b/>
      <w:szCs w:val="24"/>
      <w:lang w:eastAsia="en-GB"/>
    </w:rPr>
  </w:style>
  <w:style w:type="character" w:customStyle="1" w:styleId="Doc-text2Char">
    <w:name w:val="Doc-text2 Char"/>
    <w:link w:val="Doc-text2"/>
    <w:qFormat/>
    <w:locked/>
    <w:rsid w:val="00C8350D"/>
    <w:rPr>
      <w:rFonts w:ascii="Arial" w:eastAsia="MS Mincho" w:hAnsi="Arial" w:cs="Arial"/>
      <w:szCs w:val="24"/>
    </w:rPr>
  </w:style>
  <w:style w:type="paragraph" w:customStyle="1" w:styleId="Doc-text2">
    <w:name w:val="Doc-text2"/>
    <w:basedOn w:val="Normal"/>
    <w:link w:val="Doc-text2Char"/>
    <w:qFormat/>
    <w:rsid w:val="00C8350D"/>
    <w:pPr>
      <w:tabs>
        <w:tab w:val="left" w:pos="1622"/>
      </w:tabs>
      <w:spacing w:after="0"/>
      <w:ind w:left="1622" w:hanging="363"/>
    </w:pPr>
    <w:rPr>
      <w:rFonts w:ascii="Arial" w:eastAsia="MS Mincho" w:hAnsi="Arial" w:cs="Arial"/>
      <w:szCs w:val="24"/>
      <w:lang w:eastAsia="en-GB"/>
    </w:rPr>
  </w:style>
  <w:style w:type="character" w:styleId="CommentReference">
    <w:name w:val="annotation reference"/>
    <w:basedOn w:val="DefaultParagraphFont"/>
    <w:rsid w:val="001211DF"/>
    <w:rPr>
      <w:sz w:val="16"/>
      <w:szCs w:val="16"/>
    </w:rPr>
  </w:style>
  <w:style w:type="paragraph" w:styleId="CommentText">
    <w:name w:val="annotation text"/>
    <w:basedOn w:val="Normal"/>
    <w:link w:val="CommentTextChar"/>
    <w:rsid w:val="001211DF"/>
  </w:style>
  <w:style w:type="character" w:customStyle="1" w:styleId="CommentTextChar">
    <w:name w:val="Comment Text Char"/>
    <w:basedOn w:val="DefaultParagraphFont"/>
    <w:link w:val="CommentText"/>
    <w:rsid w:val="001211DF"/>
    <w:rPr>
      <w:lang w:eastAsia="en-US"/>
    </w:rPr>
  </w:style>
  <w:style w:type="paragraph" w:styleId="CommentSubject">
    <w:name w:val="annotation subject"/>
    <w:basedOn w:val="CommentText"/>
    <w:next w:val="CommentText"/>
    <w:link w:val="CommentSubjectChar"/>
    <w:rsid w:val="001211DF"/>
    <w:rPr>
      <w:b/>
      <w:bCs/>
    </w:rPr>
  </w:style>
  <w:style w:type="character" w:customStyle="1" w:styleId="CommentSubjectChar">
    <w:name w:val="Comment Subject Char"/>
    <w:basedOn w:val="CommentTextChar"/>
    <w:link w:val="CommentSubject"/>
    <w:rsid w:val="001211DF"/>
    <w:rPr>
      <w:b/>
      <w:bCs/>
      <w:lang w:eastAsia="en-US"/>
    </w:rPr>
  </w:style>
  <w:style w:type="paragraph" w:styleId="ListParagraph">
    <w:name w:val="List Paragraph"/>
    <w:basedOn w:val="Normal"/>
    <w:uiPriority w:val="34"/>
    <w:qFormat/>
    <w:rsid w:val="007975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490188">
      <w:bodyDiv w:val="1"/>
      <w:marLeft w:val="0"/>
      <w:marRight w:val="0"/>
      <w:marTop w:val="0"/>
      <w:marBottom w:val="0"/>
      <w:divBdr>
        <w:top w:val="none" w:sz="0" w:space="0" w:color="auto"/>
        <w:left w:val="none" w:sz="0" w:space="0" w:color="auto"/>
        <w:bottom w:val="none" w:sz="0" w:space="0" w:color="auto"/>
        <w:right w:val="none" w:sz="0" w:space="0" w:color="auto"/>
      </w:divBdr>
    </w:div>
    <w:div w:id="89046480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8798469">
      <w:bodyDiv w:val="1"/>
      <w:marLeft w:val="0"/>
      <w:marRight w:val="0"/>
      <w:marTop w:val="0"/>
      <w:marBottom w:val="0"/>
      <w:divBdr>
        <w:top w:val="none" w:sz="0" w:space="0" w:color="auto"/>
        <w:left w:val="none" w:sz="0" w:space="0" w:color="auto"/>
        <w:bottom w:val="none" w:sz="0" w:space="0" w:color="auto"/>
        <w:right w:val="none" w:sz="0" w:space="0" w:color="auto"/>
      </w:divBdr>
    </w:div>
    <w:div w:id="1337684086">
      <w:bodyDiv w:val="1"/>
      <w:marLeft w:val="0"/>
      <w:marRight w:val="0"/>
      <w:marTop w:val="0"/>
      <w:marBottom w:val="0"/>
      <w:divBdr>
        <w:top w:val="none" w:sz="0" w:space="0" w:color="auto"/>
        <w:left w:val="none" w:sz="0" w:space="0" w:color="auto"/>
        <w:bottom w:val="none" w:sz="0" w:space="0" w:color="auto"/>
        <w:right w:val="none" w:sz="0" w:space="0" w:color="auto"/>
      </w:divBdr>
    </w:div>
    <w:div w:id="1620646182">
      <w:bodyDiv w:val="1"/>
      <w:marLeft w:val="0"/>
      <w:marRight w:val="0"/>
      <w:marTop w:val="0"/>
      <w:marBottom w:val="0"/>
      <w:divBdr>
        <w:top w:val="none" w:sz="0" w:space="0" w:color="auto"/>
        <w:left w:val="none" w:sz="0" w:space="0" w:color="auto"/>
        <w:bottom w:val="none" w:sz="0" w:space="0" w:color="auto"/>
        <w:right w:val="none" w:sz="0" w:space="0" w:color="auto"/>
      </w:divBdr>
    </w:div>
    <w:div w:id="1873153054">
      <w:bodyDiv w:val="1"/>
      <w:marLeft w:val="0"/>
      <w:marRight w:val="0"/>
      <w:marTop w:val="0"/>
      <w:marBottom w:val="0"/>
      <w:divBdr>
        <w:top w:val="none" w:sz="0" w:space="0" w:color="auto"/>
        <w:left w:val="none" w:sz="0" w:space="0" w:color="auto"/>
        <w:bottom w:val="none" w:sz="0" w:space="0" w:color="auto"/>
        <w:right w:val="none" w:sz="0" w:space="0" w:color="auto"/>
      </w:divBdr>
    </w:div>
    <w:div w:id="190868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9bis-e/Inbox/Chairs_Notes/R2%20119bis-e%20Chair%20Notes%20EOM%20rev1.docx"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5AIRPNAIUNRU-859666464-12954</_dlc_DocId>
    <_dlc_DocIdUrl xmlns="71c5aaf6-e6ce-465b-b873-5148d2a4c105">
      <Url>https://nokia.sharepoint.com/sites/c5g/e2earch/_layouts/15/DocIdRedir.aspx?ID=5AIRPNAIUNRU-859666464-12954</Url>
      <Description>5AIRPNAIUNRU-859666464-12954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40D9D7-5B0B-4220-9AE4-E6A14A154EA2}">
  <ds:schemaRefs>
    <ds:schemaRef ds:uri="http://schemas.openxmlformats.org/officeDocument/2006/bibliography"/>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2061</Words>
  <Characters>11748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Gosia</cp:lastModifiedBy>
  <cp:revision>3</cp:revision>
  <dcterms:created xsi:type="dcterms:W3CDTF">2022-11-11T10:41:00Z</dcterms:created>
  <dcterms:modified xsi:type="dcterms:W3CDTF">2022-11-11T10:42:00Z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6df61f97-752a-4b43-aded-1efdb5b5fdbf</vt:lpwstr>
  </property>
</Properties>
</file>